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黑体简体" w:hAnsi="宋体" w:eastAsia="方正黑体简体" w:cs="宋体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jc w:val="both"/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怀化市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发展和改革委员会所属事业单位</w:t>
      </w:r>
    </w:p>
    <w:p>
      <w:pPr>
        <w:jc w:val="center"/>
        <w:rPr>
          <w:sz w:val="24"/>
          <w:szCs w:val="32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怀化市节能监察和信用信息中心公开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选调工作人员计划与岗位一览表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418"/>
        <w:gridCol w:w="1455"/>
        <w:gridCol w:w="1566"/>
        <w:gridCol w:w="1260"/>
        <w:gridCol w:w="1374"/>
        <w:gridCol w:w="1147"/>
        <w:gridCol w:w="1261"/>
        <w:gridCol w:w="2257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选调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计划</w:t>
            </w: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编制性质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所需资格条件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其他要求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学历、学位要求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管理九级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1名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全额事业编制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1990年1月1日（含）以后出生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本科及以上学历，学士及以上学位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u w:val="none"/>
                <w:lang w:eastAsia="zh-CN"/>
              </w:rPr>
              <w:t>不限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具有5年及以上工作经验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需加班、外地出差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4F913C-1268-4F9C-B2BB-86B932EC60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AA00C27-9E3A-4375-8D6B-5D19F88AE70B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7DC0886-586D-4D09-9C8B-EDC6861DF9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75743D8-A225-46E6-882A-08806B6C49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NjI0Y2UyZmM1YTA4NTk3OTVkNDIxMGZlMDdmYTEifQ=="/>
  </w:docVars>
  <w:rsids>
    <w:rsidRoot w:val="39B339AF"/>
    <w:rsid w:val="069E5CFB"/>
    <w:rsid w:val="39B339AF"/>
    <w:rsid w:val="566D3EF9"/>
    <w:rsid w:val="57F764A7"/>
    <w:rsid w:val="5B032080"/>
    <w:rsid w:val="5EBC408B"/>
    <w:rsid w:val="5F2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0</TotalTime>
  <ScaleCrop>false</ScaleCrop>
  <LinksUpToDate>false</LinksUpToDate>
  <CharactersWithSpaces>154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2022-04-21T06:48:00Z</dcterms:created>
  <dc:creator>墨鱼achin</dc:creator>
  <cp:lastModifiedBy>墨鱼achin</cp:lastModifiedBy>
  <cp:lastPrinted>2022-05-16T04:06:00Z</cp:lastPrinted>
  <dcterms:modified xsi:type="dcterms:W3CDTF">2022-05-19T01:10:11Z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F472A2C11B124593A4B0533DF3464293</vt:lpwstr>
  </property>
</Properties>
</file>