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信访局直属事业单位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年公开考调工作人员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仿宋_GB2312" w:cs="Times New Roman"/>
          <w:b/>
          <w:bCs/>
          <w:color w:val="000000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岗位和条件要求一览表</w:t>
      </w:r>
    </w:p>
    <w:tbl>
      <w:tblPr>
        <w:tblStyle w:val="5"/>
        <w:tblW w:w="143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899"/>
        <w:gridCol w:w="1121"/>
        <w:gridCol w:w="1134"/>
        <w:gridCol w:w="709"/>
        <w:gridCol w:w="2693"/>
        <w:gridCol w:w="2272"/>
        <w:gridCol w:w="1260"/>
        <w:gridCol w:w="1855"/>
        <w:gridCol w:w="1007"/>
        <w:gridCol w:w="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考调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考调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考调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考调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对象及范围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专业条件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考试科目及顺序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群众工作中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综合岗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1.面向全省机关（含参公管理单位）、全额拨款事业单位中在编在岗满2年的事业干部或具有公务员（参公管理人员）身份的人员</w:t>
            </w:r>
          </w:p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2.见公告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日及以后出生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1.笔试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2.面试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001" w:hRule="atLeas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群众工作中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综合岗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面向全省机关（含参公管理单位）、全额拨款事业单位中在编在岗满2年的事业干部或具有公务员（参公管理人员）身份的人员</w:t>
            </w:r>
          </w:p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2.见公告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日及以后出生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1.笔试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2.面试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信访局直属事业单位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年公开考调单位基本情况一览表</w:t>
      </w:r>
    </w:p>
    <w:p>
      <w:pPr>
        <w:snapToGrid w:val="0"/>
        <w:spacing w:line="240" w:lineRule="atLeast"/>
        <w:rPr>
          <w:rFonts w:hint="default" w:ascii="Times New Roman" w:hAnsi="Times New Roman" w:eastAsia="仿宋_GB2312" w:cs="Times New Roman"/>
          <w:b/>
          <w:bCs/>
          <w:color w:val="000000"/>
          <w:spacing w:val="-6"/>
          <w:sz w:val="44"/>
          <w:szCs w:val="44"/>
        </w:rPr>
      </w:pPr>
    </w:p>
    <w:tbl>
      <w:tblPr>
        <w:tblStyle w:val="5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4"/>
        <w:gridCol w:w="1470"/>
        <w:gridCol w:w="2863"/>
        <w:gridCol w:w="1911"/>
        <w:gridCol w:w="6562"/>
      </w:tblGrid>
      <w:tr>
        <w:trPr>
          <w:trHeight w:val="812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03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98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南充市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eastAsia="zh-CN"/>
              </w:rPr>
              <w:t>群众工作中心</w:t>
            </w:r>
          </w:p>
        </w:tc>
        <w:tc>
          <w:tcPr>
            <w:tcW w:w="503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全额拨款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公益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类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事业单位</w:t>
            </w:r>
          </w:p>
        </w:tc>
        <w:tc>
          <w:tcPr>
            <w:tcW w:w="98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eastAsia="zh-CN"/>
              </w:rPr>
              <w:t>南充市顺庆区万年东路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1号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0817—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2188679</w:t>
            </w:r>
          </w:p>
        </w:tc>
        <w:tc>
          <w:tcPr>
            <w:tcW w:w="2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负责接待到市委、市政府和市群众工作中心来访群众的信访登记，收集社情民意，提供政策咨询、疏导解释等事务性工作；负责市级领导、进驻单位（部门）接待群众来访、约访、下访相关服务工作；完成上级交办的其他工作。</w:t>
            </w:r>
          </w:p>
        </w:tc>
      </w:tr>
    </w:tbl>
    <w:p>
      <w:pPr>
        <w:widowControl/>
        <w:shd w:val="clear" w:color="auto" w:fill="FFFFFF"/>
        <w:spacing w:line="570" w:lineRule="exact"/>
        <w:ind w:firstLine="671" w:firstLineChars="20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531" w:right="1134" w:bottom="1531" w:left="1134" w:header="851" w:footer="1588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  <w:t>附件3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信访局直属事业单位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公开考调工作人员报考信息表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47"/>
        <w:gridCol w:w="26"/>
        <w:gridCol w:w="269"/>
        <w:gridCol w:w="569"/>
        <w:gridCol w:w="47"/>
        <w:gridCol w:w="883"/>
        <w:gridCol w:w="197"/>
        <w:gridCol w:w="55"/>
        <w:gridCol w:w="424"/>
        <w:gridCol w:w="148"/>
        <w:gridCol w:w="534"/>
        <w:gridCol w:w="435"/>
        <w:gridCol w:w="258"/>
        <w:gridCol w:w="726"/>
        <w:gridCol w:w="131"/>
        <w:gridCol w:w="224"/>
        <w:gridCol w:w="939"/>
        <w:gridCol w:w="501"/>
        <w:gridCol w:w="172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8"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8"/>
                <w:kern w:val="0"/>
                <w:sz w:val="26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9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民族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6"/>
                <w:kern w:val="0"/>
                <w:sz w:val="26"/>
                <w:szCs w:val="28"/>
              </w:rPr>
              <w:t>籍贯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9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6"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参工时间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6"/>
                <w:kern w:val="0"/>
                <w:sz w:val="26"/>
                <w:szCs w:val="28"/>
              </w:rPr>
              <w:t>入党（团）时间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9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6"/>
                <w:kern w:val="0"/>
                <w:sz w:val="26"/>
                <w:szCs w:val="28"/>
              </w:rPr>
              <w:t>身份证号码</w:t>
            </w:r>
          </w:p>
        </w:tc>
        <w:tc>
          <w:tcPr>
            <w:tcW w:w="5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6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学位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2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工作单位</w:t>
            </w:r>
          </w:p>
        </w:tc>
        <w:tc>
          <w:tcPr>
            <w:tcW w:w="2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报考职位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7" w:rightChars="48" w:firstLine="108" w:firstLineChars="43"/>
              <w:jc w:val="distribute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现任职务职级及时间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9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7" w:rightChars="48" w:firstLine="108" w:firstLineChars="43"/>
              <w:jc w:val="distribute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65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历</w:t>
            </w:r>
          </w:p>
        </w:tc>
        <w:tc>
          <w:tcPr>
            <w:tcW w:w="8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关系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称谓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奖 惩 情 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年度考核情况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  <w:p>
            <w:pPr>
              <w:ind w:firstLine="1265" w:firstLineChars="5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所在单位意见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2151" w:firstLineChars="85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 xml:space="preserve">                （盖章）</w:t>
            </w:r>
          </w:p>
          <w:p>
            <w:pPr>
              <w:spacing w:line="440" w:lineRule="exact"/>
              <w:ind w:firstLine="4164" w:firstLineChars="1646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所在县（市、区）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6"/>
                <w:szCs w:val="28"/>
              </w:rPr>
              <w:t>及以上组织（人事）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部门意见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75" w:firstLineChars="165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75" w:firstLineChars="165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（盖章）</w:t>
            </w:r>
          </w:p>
          <w:p>
            <w:pPr>
              <w:spacing w:line="440" w:lineRule="exact"/>
              <w:ind w:firstLine="4172" w:firstLineChars="1649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资格初审意见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ind w:firstLine="2733" w:firstLineChars="108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52" w:firstLineChars="1641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（盖章）</w:t>
            </w:r>
          </w:p>
          <w:p>
            <w:pPr>
              <w:spacing w:line="440" w:lineRule="exact"/>
              <w:ind w:firstLine="4226" w:firstLineChars="167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8"/>
              </w:rPr>
              <w:t>备  注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</w:rPr>
        <w:sectPr>
          <w:pgSz w:w="11906" w:h="16838"/>
          <w:pgMar w:top="2098" w:right="1531" w:bottom="1985" w:left="1531" w:header="851" w:footer="1588" w:gutter="0"/>
          <w:cols w:space="720" w:num="1"/>
          <w:docGrid w:type="linesAndChars" w:linePitch="634" w:charSpace="-1578"/>
        </w:sect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  <w:t>附件4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720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本人XXX（性别、身份证号码），现工作单位及职务（岗位）。本人自愿参加南充市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信访局直属事业单位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年公开考调。如果考调调入，本人郑重承诺：愿放弃已取得的岗位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（职务）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级别，按南充市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信访局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岗位设置实际情况重新确认岗位级别。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特此承诺。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23" w:firstLineChars="19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23" w:firstLineChars="19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承诺人：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日</w:t>
      </w:r>
    </w:p>
    <w:p>
      <w:pP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  <w:t xml:space="preserve">附件5 </w:t>
      </w:r>
    </w:p>
    <w:p>
      <w:pP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年南充市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信访局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直属事业单位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公开考调工作人员笔试期间考生疫情防控事项</w:t>
      </w:r>
    </w:p>
    <w:p>
      <w:pPr>
        <w:ind w:firstLine="626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44"/>
        </w:rPr>
      </w:pP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一、请广大考生务必做好自我健康管理，通过微信小程序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</w:rPr>
        <w:t>“国家政务服务平台”或“天府健康通”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申领本人防疫健康码，并持续关注健康码状态。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三、考试前，考生应至少提前1小时到达笔试考点。考生排队进入考点时，应当主动出示本人防疫健康码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、行程码及提供48小时内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核酸检测阴性证明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视为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主动放弃笔试资格。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并不再参加考试，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视为主动放弃笔试资格。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pPr>
        <w:spacing w:line="560" w:lineRule="exact"/>
        <w:ind w:firstLine="623" w:firstLineChars="199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570" w:lineRule="exact"/>
        <w:ind w:firstLine="623" w:firstLineChars="19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2098" w:right="1531" w:bottom="1418" w:left="1531" w:header="851" w:footer="1588" w:gutter="0"/>
      <w:pgNumType w:fmt="decimal" w:chapStyle="1" w:chapSep="colon"/>
      <w:cols w:space="720" w:num="1"/>
      <w:docGrid w:type="linesAndChars" w:linePitch="605" w:charSpace="-1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color w:val="FFFFFF"/>
        <w:sz w:val="28"/>
        <w:szCs w:val="28"/>
      </w:rPr>
    </w:pPr>
    <w:r>
      <w:rPr>
        <w:rStyle w:val="7"/>
        <w:rFonts w:hint="eastAsia"/>
        <w:color w:val="FFFFFF"/>
        <w:sz w:val="28"/>
        <w:szCs w:val="28"/>
      </w:rPr>
      <w:t>—</w:t>
    </w: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  <w:r>
      <w:rPr>
        <w:rStyle w:val="7"/>
        <w:rFonts w:hint="eastAsia"/>
        <w:color w:val="FFFFFF"/>
        <w:sz w:val="28"/>
        <w:szCs w:val="28"/>
      </w:rPr>
      <w:t>—</w:t>
    </w:r>
  </w:p>
  <w:p>
    <w:pPr>
      <w:pStyle w:val="3"/>
      <w:ind w:right="360" w:firstLine="180" w:firstLine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AA52"/>
    <w:rsid w:val="3EEDA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 Char2 Char Char Char Char Char Char"/>
    <w:basedOn w:val="1"/>
    <w:qFormat/>
    <w:uiPriority w:val="0"/>
    <w:pPr>
      <w:spacing w:after="160" w:line="240" w:lineRule="exac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2022-04-27T17:54:00Z</dcterms:created>
  <dc:creator>user</dc:creator>
  <cp:lastModifiedBy>user</cp:lastModifiedBy>
  <dcterms:modified xsi:type="dcterms:W3CDTF">2022-04-27T17:56:57Z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