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jc w:val="center"/>
        <w:rPr>
          <w:rFonts w:ascii="方正小标宋_GBK" w:hAnsi="Times New Roman" w:eastAsia="方正小标宋_GBK" w:cs="Times New Roman"/>
          <w:snapToGrid w:val="0"/>
          <w:color w:val="000000"/>
          <w:sz w:val="44"/>
          <w:szCs w:val="44"/>
        </w:rPr>
      </w:pPr>
      <w:bookmarkStart w:id="2" w:name="_GoBack"/>
      <w:bookmarkEnd w:id="2"/>
      <w:r>
        <w:rPr>
          <w:rFonts w:hint="eastAsia" w:ascii="方正小标宋_GBK" w:hAnsi="Times New Roman" w:eastAsia="方正小标宋_GBK" w:cs="Times New Roman"/>
          <w:snapToGrid w:val="0"/>
          <w:color w:val="000000"/>
          <w:sz w:val="44"/>
          <w:szCs w:val="44"/>
        </w:rPr>
        <w:t>广西数字政务一体化平台网上办事大厅</w:t>
      </w:r>
    </w:p>
    <w:p>
      <w:pPr>
        <w:adjustRightInd w:val="0"/>
        <w:snapToGrid w:val="0"/>
        <w:spacing w:line="600" w:lineRule="exact"/>
        <w:jc w:val="center"/>
        <w:rPr>
          <w:rFonts w:ascii="方正小标宋_GBK" w:hAnsi="Times New Roman" w:eastAsia="方正小标宋_GBK" w:cs="Times New Roman"/>
          <w:snapToGrid w:val="0"/>
          <w:color w:val="000000"/>
          <w:sz w:val="44"/>
          <w:szCs w:val="44"/>
        </w:rPr>
      </w:pPr>
      <w:r>
        <w:rPr>
          <w:rFonts w:hint="eastAsia" w:ascii="方正小标宋_GBK" w:hAnsi="Times New Roman" w:eastAsia="方正小标宋_GBK" w:cs="Times New Roman"/>
          <w:snapToGrid w:val="0"/>
          <w:color w:val="000000"/>
          <w:sz w:val="44"/>
          <w:szCs w:val="44"/>
        </w:rPr>
        <w:t>申报指引</w:t>
      </w:r>
    </w:p>
    <w:p>
      <w:pPr>
        <w:ind w:firstLine="640" w:firstLineChars="200"/>
        <w:rPr>
          <w:rFonts w:ascii="仿宋" w:hAnsi="仿宋" w:eastAsia="仿宋"/>
          <w:sz w:val="32"/>
          <w:szCs w:val="32"/>
        </w:rPr>
      </w:pPr>
      <w:bookmarkStart w:id="0" w:name="_Toc13057"/>
      <w:r>
        <w:rPr>
          <w:rFonts w:hint="eastAsia" w:ascii="仿宋" w:hAnsi="仿宋" w:eastAsia="仿宋"/>
          <w:sz w:val="32"/>
          <w:szCs w:val="32"/>
        </w:rPr>
        <w:t>第一步：打开网站首页</w:t>
      </w:r>
      <w:bookmarkEnd w:id="0"/>
      <w:r>
        <w:rPr>
          <w:rFonts w:hint="eastAsia" w:ascii="仿宋" w:hAnsi="仿宋" w:eastAsia="仿宋"/>
          <w:sz w:val="32"/>
          <w:szCs w:val="32"/>
        </w:rPr>
        <w:t>：使用主流浏览器（3</w:t>
      </w:r>
      <w:r>
        <w:rPr>
          <w:rFonts w:ascii="仿宋" w:hAnsi="仿宋" w:eastAsia="仿宋"/>
          <w:sz w:val="32"/>
          <w:szCs w:val="32"/>
        </w:rPr>
        <w:t>60</w:t>
      </w:r>
      <w:r>
        <w:rPr>
          <w:rFonts w:hint="eastAsia" w:ascii="仿宋" w:hAnsi="仿宋" w:eastAsia="仿宋"/>
          <w:sz w:val="32"/>
          <w:szCs w:val="32"/>
        </w:rPr>
        <w:t>浏览器极速模式、谷歌），输入地址：http://zwfw.gxzf.gov.cn</w:t>
      </w:r>
    </w:p>
    <w:p>
      <w:pPr>
        <w:ind w:leftChars="-700" w:hanging="1470" w:hangingChars="700"/>
        <w:jc w:val="right"/>
      </w:pPr>
      <w:r>
        <w:drawing>
          <wp:inline distT="0" distB="0" distL="0" distR="0">
            <wp:extent cx="5274310" cy="26162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2616200"/>
                    </a:xfrm>
                    <a:prstGeom prst="rect">
                      <a:avLst/>
                    </a:prstGeom>
                    <a:noFill/>
                    <a:ln>
                      <a:noFill/>
                    </a:ln>
                  </pic:spPr>
                </pic:pic>
              </a:graphicData>
            </a:graphic>
          </wp:inline>
        </w:drawing>
      </w:r>
    </w:p>
    <w:p>
      <w:pPr>
        <w:ind w:firstLine="640" w:firstLineChars="200"/>
        <w:rPr>
          <w:rFonts w:ascii="仿宋" w:hAnsi="仿宋" w:eastAsia="仿宋"/>
          <w:sz w:val="32"/>
          <w:szCs w:val="32"/>
        </w:rPr>
      </w:pPr>
      <w:r>
        <w:rPr>
          <w:rFonts w:hint="eastAsia" w:ascii="仿宋" w:hAnsi="仿宋" w:eastAsia="仿宋"/>
          <w:sz w:val="32"/>
          <w:szCs w:val="32"/>
        </w:rPr>
        <w:t>第二步：打开上述网址后，已注册用户可直接登录（支持支付宝扫码登录），未注册用户点击注册按钮进行注册。</w:t>
      </w:r>
    </w:p>
    <w:p>
      <w:pPr>
        <w:ind w:firstLine="640" w:firstLineChars="200"/>
        <w:rPr>
          <w:rFonts w:ascii="仿宋" w:hAnsi="仿宋" w:eastAsia="仿宋"/>
          <w:sz w:val="32"/>
          <w:szCs w:val="32"/>
        </w:rPr>
      </w:pPr>
      <w:r>
        <w:rPr>
          <w:rFonts w:hint="eastAsia" w:ascii="仿宋" w:hAnsi="仿宋" w:eastAsia="仿宋"/>
          <w:sz w:val="32"/>
          <w:szCs w:val="32"/>
        </w:rPr>
        <w:t>个人用户注册请准备身份证信息；</w:t>
      </w:r>
    </w:p>
    <w:p>
      <w:pPr>
        <w:ind w:firstLine="640" w:firstLineChars="200"/>
        <w:rPr>
          <w:rFonts w:ascii="仿宋" w:hAnsi="仿宋" w:eastAsia="仿宋"/>
          <w:sz w:val="32"/>
          <w:szCs w:val="32"/>
        </w:rPr>
      </w:pPr>
      <w:r>
        <w:rPr>
          <w:rFonts w:hint="eastAsia" w:ascii="仿宋" w:hAnsi="仿宋" w:eastAsia="仿宋"/>
          <w:sz w:val="32"/>
          <w:szCs w:val="32"/>
        </w:rPr>
        <w:t>法人注册请准备法人身份证信息和企业统一信用号。</w:t>
      </w:r>
    </w:p>
    <w:p>
      <w:pPr>
        <w:widowControl/>
        <w:jc w:val="left"/>
      </w:pPr>
      <w:r>
        <w:drawing>
          <wp:inline distT="0" distB="0" distL="0" distR="0">
            <wp:extent cx="5266055" cy="1206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66055" cy="1206500"/>
                    </a:xfrm>
                    <a:prstGeom prst="rect">
                      <a:avLst/>
                    </a:prstGeom>
                    <a:noFill/>
                    <a:ln>
                      <a:noFill/>
                    </a:ln>
                  </pic:spPr>
                </pic:pic>
              </a:graphicData>
            </a:graphic>
          </wp:inline>
        </w:drawing>
      </w:r>
    </w:p>
    <w:p>
      <w:pPr>
        <w:ind w:firstLine="640" w:firstLineChars="200"/>
        <w:rPr>
          <w:rFonts w:ascii="仿宋" w:hAnsi="仿宋" w:eastAsia="仿宋"/>
          <w:sz w:val="32"/>
          <w:szCs w:val="32"/>
        </w:rPr>
      </w:pPr>
      <w:r>
        <w:rPr>
          <w:rFonts w:hint="eastAsia" w:ascii="仿宋" w:hAnsi="仿宋" w:eastAsia="仿宋"/>
          <w:sz w:val="32"/>
          <w:szCs w:val="32"/>
        </w:rPr>
        <w:t xml:space="preserve">第三步：登录以后根据您需要办理的业务选择对应地市和部门的办事指南进行申报。 </w:t>
      </w:r>
    </w:p>
    <w:p/>
    <w:p>
      <w:pPr>
        <w:ind w:leftChars="-700" w:hanging="1470" w:hangingChars="700"/>
        <w:jc w:val="right"/>
      </w:pPr>
      <w:r>
        <w:drawing>
          <wp:inline distT="0" distB="0" distL="0" distR="0">
            <wp:extent cx="5274310" cy="25914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591435"/>
                    </a:xfrm>
                    <a:prstGeom prst="rect">
                      <a:avLst/>
                    </a:prstGeom>
                    <a:noFill/>
                    <a:ln>
                      <a:noFill/>
                    </a:ln>
                  </pic:spPr>
                </pic:pic>
              </a:graphicData>
            </a:graphic>
          </wp:inline>
        </w:drawing>
      </w:r>
    </w:p>
    <w:p>
      <w:pPr>
        <w:pStyle w:val="2"/>
      </w:pPr>
      <w:bookmarkStart w:id="1" w:name="_Toc18207"/>
      <w:r>
        <w:drawing>
          <wp:inline distT="0" distB="0" distL="0" distR="0">
            <wp:extent cx="5272405" cy="3028315"/>
            <wp:effectExtent l="0" t="0" r="444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2405" cy="3028315"/>
                    </a:xfrm>
                    <a:prstGeom prst="rect">
                      <a:avLst/>
                    </a:prstGeom>
                    <a:noFill/>
                    <a:ln>
                      <a:noFill/>
                    </a:ln>
                  </pic:spPr>
                </pic:pic>
              </a:graphicData>
            </a:graphic>
          </wp:inline>
        </w:drawing>
      </w:r>
    </w:p>
    <w:p>
      <w:pPr>
        <w:ind w:firstLine="640" w:firstLineChars="200"/>
        <w:rPr>
          <w:rFonts w:ascii="仿宋" w:hAnsi="仿宋" w:eastAsia="仿宋"/>
          <w:sz w:val="32"/>
          <w:szCs w:val="32"/>
        </w:rPr>
      </w:pPr>
      <w:r>
        <w:rPr>
          <w:rFonts w:hint="eastAsia" w:ascii="仿宋" w:hAnsi="仿宋" w:eastAsia="仿宋"/>
          <w:sz w:val="32"/>
          <w:szCs w:val="32"/>
        </w:rPr>
        <w:t>您可以通过事项类型，事项主题分类等方式快速锁定事项，也可以通过关键词快速检索。</w:t>
      </w:r>
    </w:p>
    <w:p>
      <w:pPr>
        <w:ind w:firstLine="640" w:firstLineChars="200"/>
        <w:rPr>
          <w:rFonts w:ascii="仿宋" w:hAnsi="仿宋" w:eastAsia="仿宋"/>
          <w:sz w:val="32"/>
          <w:szCs w:val="32"/>
        </w:rPr>
      </w:pPr>
      <w:r>
        <w:rPr>
          <w:rFonts w:hint="eastAsia" w:ascii="仿宋" w:hAnsi="仿宋" w:eastAsia="仿宋"/>
          <w:sz w:val="32"/>
          <w:szCs w:val="32"/>
        </w:rPr>
        <w:t>第四步：点击在线办理以后按提示操作和上传材料。</w:t>
      </w:r>
    </w:p>
    <w:p>
      <w:pPr>
        <w:ind w:firstLine="420" w:firstLineChars="200"/>
        <w:rPr>
          <w:rFonts w:ascii="仿宋" w:hAnsi="仿宋" w:eastAsia="仿宋"/>
          <w:sz w:val="32"/>
          <w:szCs w:val="32"/>
        </w:rPr>
      </w:pPr>
      <w:r>
        <w:drawing>
          <wp:inline distT="0" distB="0" distL="0" distR="0">
            <wp:extent cx="5427980" cy="3773805"/>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427980" cy="3773805"/>
                    </a:xfrm>
                    <a:prstGeom prst="rect">
                      <a:avLst/>
                    </a:prstGeom>
                  </pic:spPr>
                </pic:pic>
              </a:graphicData>
            </a:graphic>
          </wp:inline>
        </w:drawing>
      </w:r>
    </w:p>
    <w:p>
      <w:pPr>
        <w:ind w:firstLine="640" w:firstLineChars="200"/>
        <w:rPr>
          <w:rFonts w:ascii="仿宋" w:hAnsi="仿宋" w:eastAsia="仿宋"/>
          <w:sz w:val="32"/>
          <w:szCs w:val="32"/>
        </w:rPr>
      </w:pPr>
      <w:r>
        <w:rPr>
          <w:rFonts w:hint="eastAsia" w:ascii="仿宋" w:hAnsi="仿宋" w:eastAsia="仿宋"/>
          <w:sz w:val="32"/>
          <w:szCs w:val="32"/>
        </w:rPr>
        <w:t>第五步：点击右上角的姓名或法人名称进入个人中心查询办件进度，注意选择办事所属地市。</w:t>
      </w:r>
    </w:p>
    <w:p>
      <w:pPr>
        <w:widowControl/>
        <w:jc w:val="left"/>
        <w:rPr>
          <w:rFonts w:ascii="Times New Roman" w:hAnsi="Times New Roman"/>
          <w:kern w:val="0"/>
          <w:sz w:val="20"/>
          <w:szCs w:val="20"/>
        </w:rPr>
      </w:pPr>
      <w:r>
        <w:drawing>
          <wp:inline distT="0" distB="0" distL="0" distR="0">
            <wp:extent cx="5427980" cy="3838575"/>
            <wp:effectExtent l="0" t="0" r="127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427980" cy="3838575"/>
                    </a:xfrm>
                    <a:prstGeom prst="rect">
                      <a:avLst/>
                    </a:prstGeom>
                  </pic:spPr>
                </pic:pic>
              </a:graphicData>
            </a:graphic>
          </wp:inline>
        </w:drawing>
      </w:r>
    </w:p>
    <w:p>
      <w:pPr>
        <w:widowControl/>
        <w:jc w:val="left"/>
        <w:rPr>
          <w:rFonts w:ascii="Times New Roman" w:hAnsi="Times New Roman"/>
          <w:kern w:val="0"/>
          <w:sz w:val="20"/>
          <w:szCs w:val="20"/>
        </w:rPr>
      </w:pPr>
    </w:p>
    <w:p>
      <w:pPr>
        <w:widowControl/>
        <w:jc w:val="left"/>
        <w:rPr>
          <w:rFonts w:ascii="Times New Roman" w:hAnsi="Times New Roman"/>
          <w:kern w:val="0"/>
          <w:sz w:val="20"/>
          <w:szCs w:val="20"/>
        </w:rPr>
      </w:pPr>
    </w:p>
    <w:p>
      <w:pPr>
        <w:widowControl/>
        <w:jc w:val="left"/>
        <w:rPr>
          <w:rFonts w:ascii="Times New Roman" w:hAnsi="Times New Roman"/>
          <w:kern w:val="0"/>
          <w:sz w:val="20"/>
          <w:szCs w:val="20"/>
        </w:rPr>
      </w:pPr>
    </w:p>
    <w:p>
      <w:pPr>
        <w:adjustRightInd w:val="0"/>
        <w:snapToGrid w:val="0"/>
        <w:spacing w:line="600" w:lineRule="exact"/>
        <w:jc w:val="center"/>
        <w:rPr>
          <w:rFonts w:ascii="方正小标宋_GBK" w:hAnsi="Times New Roman" w:eastAsia="方正小标宋_GBK" w:cs="Times New Roman"/>
          <w:snapToGrid w:val="0"/>
          <w:color w:val="000000"/>
          <w:sz w:val="44"/>
          <w:szCs w:val="44"/>
        </w:rPr>
      </w:pPr>
      <w:r>
        <w:rPr>
          <w:rFonts w:hint="eastAsia" w:ascii="方正小标宋_GBK" w:hAnsi="Times New Roman" w:eastAsia="方正小标宋_GBK" w:cs="Times New Roman"/>
          <w:snapToGrid w:val="0"/>
          <w:color w:val="000000"/>
          <w:sz w:val="44"/>
          <w:szCs w:val="44"/>
        </w:rPr>
        <w:t>广西数字政务一体化平台手机办理指引</w:t>
      </w:r>
    </w:p>
    <w:p/>
    <w:p>
      <w:pPr>
        <w:ind w:firstLine="640" w:firstLineChars="200"/>
        <w:rPr>
          <w:rFonts w:ascii="仿宋" w:hAnsi="仿宋" w:eastAsia="仿宋"/>
          <w:sz w:val="32"/>
          <w:szCs w:val="32"/>
        </w:rPr>
      </w:pPr>
      <w:r>
        <w:rPr>
          <w:rFonts w:hint="eastAsia" w:ascii="仿宋" w:hAnsi="仿宋" w:eastAsia="仿宋"/>
          <w:sz w:val="32"/>
          <w:szCs w:val="32"/>
        </w:rPr>
        <w:t>企业和办事群众可以通过下载安装广西政务APP、爱广西、爱南宁进行手机办理</w:t>
      </w:r>
    </w:p>
    <w:p>
      <w:pPr>
        <w:ind w:firstLine="640" w:firstLineChars="200"/>
        <w:rPr>
          <w:rFonts w:ascii="仿宋" w:hAnsi="仿宋" w:eastAsia="仿宋"/>
          <w:sz w:val="32"/>
          <w:szCs w:val="32"/>
        </w:rPr>
      </w:pPr>
      <w:r>
        <w:rPr>
          <w:rFonts w:hint="eastAsia" w:ascii="仿宋" w:hAnsi="仿宋" w:eastAsia="仿宋"/>
          <w:sz w:val="32"/>
          <w:szCs w:val="32"/>
        </w:rPr>
        <w:t>第一步：通过手机应用商店下载和安装</w:t>
      </w:r>
      <w:r>
        <w:rPr>
          <w:rFonts w:ascii="仿宋" w:hAnsi="仿宋" w:eastAsia="仿宋"/>
          <w:sz w:val="32"/>
          <w:szCs w:val="32"/>
        </w:rPr>
        <w:t>”</w:t>
      </w:r>
      <w:r>
        <w:rPr>
          <w:rFonts w:hint="eastAsia" w:ascii="仿宋" w:hAnsi="仿宋" w:eastAsia="仿宋"/>
          <w:sz w:val="32"/>
          <w:szCs w:val="32"/>
        </w:rPr>
        <w:t>广西政务APP</w:t>
      </w:r>
      <w:r>
        <w:rPr>
          <w:rFonts w:ascii="仿宋" w:hAnsi="仿宋" w:eastAsia="仿宋"/>
          <w:sz w:val="32"/>
          <w:szCs w:val="32"/>
        </w:rPr>
        <w:t>”</w:t>
      </w:r>
      <w:r>
        <w:rPr>
          <w:rFonts w:hint="eastAsia" w:ascii="仿宋" w:hAnsi="仿宋" w:eastAsia="仿宋"/>
          <w:sz w:val="32"/>
          <w:szCs w:val="32"/>
        </w:rPr>
        <w:t>，支持的市场有：苹果市场、安智市场、应用汇市场、3</w:t>
      </w:r>
      <w:r>
        <w:rPr>
          <w:rFonts w:ascii="仿宋" w:hAnsi="仿宋" w:eastAsia="仿宋"/>
          <w:sz w:val="32"/>
          <w:szCs w:val="32"/>
        </w:rPr>
        <w:t>60</w:t>
      </w:r>
      <w:r>
        <w:rPr>
          <w:rFonts w:hint="eastAsia" w:ascii="仿宋" w:hAnsi="仿宋" w:eastAsia="仿宋"/>
          <w:sz w:val="32"/>
          <w:szCs w:val="32"/>
        </w:rPr>
        <w:t>市场、豌豆荚市场和应用宝市场。</w:t>
      </w:r>
    </w:p>
    <w:p>
      <w:pPr>
        <w:widowControl/>
        <w:jc w:val="center"/>
        <w:rPr>
          <w:rFonts w:ascii="Times New Roman" w:hAnsi="Times New Roman"/>
          <w:kern w:val="0"/>
          <w:sz w:val="20"/>
          <w:szCs w:val="20"/>
        </w:rPr>
      </w:pPr>
      <w:r>
        <w:drawing>
          <wp:inline distT="0" distB="0" distL="0" distR="0">
            <wp:extent cx="1238885" cy="138811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38885" cy="1388110"/>
                    </a:xfrm>
                    <a:prstGeom prst="rect">
                      <a:avLst/>
                    </a:prstGeom>
                    <a:noFill/>
                    <a:ln>
                      <a:noFill/>
                    </a:ln>
                  </pic:spPr>
                </pic:pic>
              </a:graphicData>
            </a:graphic>
          </wp:inline>
        </w:drawing>
      </w:r>
    </w:p>
    <w:p>
      <w:pPr>
        <w:ind w:firstLine="640" w:firstLineChars="200"/>
        <w:rPr>
          <w:rFonts w:ascii="仿宋" w:hAnsi="仿宋" w:eastAsia="仿宋"/>
          <w:sz w:val="32"/>
          <w:szCs w:val="32"/>
        </w:rPr>
      </w:pPr>
      <w:r>
        <w:rPr>
          <w:rFonts w:hint="eastAsia" w:ascii="仿宋" w:hAnsi="仿宋" w:eastAsia="仿宋"/>
          <w:sz w:val="32"/>
          <w:szCs w:val="32"/>
        </w:rPr>
        <w:t>第二步:</w:t>
      </w:r>
      <w:r>
        <w:rPr>
          <w:rFonts w:ascii="仿宋" w:hAnsi="仿宋" w:eastAsia="仿宋"/>
          <w:sz w:val="32"/>
          <w:szCs w:val="32"/>
        </w:rPr>
        <w:t xml:space="preserve"> </w:t>
      </w:r>
      <w:r>
        <w:rPr>
          <w:rFonts w:hint="eastAsia" w:ascii="仿宋" w:hAnsi="仿宋" w:eastAsia="仿宋"/>
          <w:sz w:val="32"/>
          <w:szCs w:val="32"/>
        </w:rPr>
        <w:t>打开广西政务APP后，点击底部的 “我的”进行注册/登录。</w:t>
      </w:r>
    </w:p>
    <w:p>
      <w:pPr>
        <w:ind w:firstLine="640" w:firstLineChars="200"/>
        <w:rPr>
          <w:rFonts w:ascii="仿宋" w:hAnsi="仿宋" w:eastAsia="仿宋"/>
          <w:sz w:val="32"/>
          <w:szCs w:val="32"/>
        </w:rPr>
      </w:pPr>
      <w:r>
        <w:rPr>
          <w:rFonts w:hint="eastAsia" w:ascii="仿宋" w:hAnsi="仿宋" w:eastAsia="仿宋"/>
          <w:sz w:val="32"/>
          <w:szCs w:val="32"/>
        </w:rPr>
        <w:t>第三步：登录后，您可在“首页”左上角选择所在城市。</w:t>
      </w:r>
    </w:p>
    <w:p>
      <w:pPr>
        <w:widowControl/>
        <w:jc w:val="center"/>
      </w:pPr>
      <w:r>
        <w:drawing>
          <wp:inline distT="0" distB="0" distL="0" distR="0">
            <wp:extent cx="2684780" cy="4812030"/>
            <wp:effectExtent l="0" t="0" r="127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84780" cy="4812030"/>
                    </a:xfrm>
                    <a:prstGeom prst="rect">
                      <a:avLst/>
                    </a:prstGeom>
                    <a:noFill/>
                    <a:ln>
                      <a:noFill/>
                    </a:ln>
                  </pic:spPr>
                </pic:pic>
              </a:graphicData>
            </a:graphic>
          </wp:inline>
        </w:drawing>
      </w:r>
    </w:p>
    <w:p>
      <w:pPr>
        <w:ind w:firstLine="640" w:firstLineChars="200"/>
        <w:rPr>
          <w:rFonts w:ascii="仿宋" w:hAnsi="仿宋" w:eastAsia="仿宋"/>
          <w:sz w:val="32"/>
          <w:szCs w:val="32"/>
        </w:rPr>
      </w:pPr>
      <w:r>
        <w:rPr>
          <w:rFonts w:hint="eastAsia" w:ascii="仿宋" w:hAnsi="仿宋" w:eastAsia="仿宋"/>
          <w:sz w:val="32"/>
          <w:szCs w:val="32"/>
        </w:rPr>
        <w:t>第四步：在“首页”搜索对应事项或者点击下方“办事”菜单查询办事指南进行申报。</w:t>
      </w:r>
    </w:p>
    <w:p>
      <w:pPr>
        <w:widowControl/>
        <w:jc w:val="center"/>
      </w:pPr>
      <w:r>
        <w:drawing>
          <wp:inline distT="0" distB="0" distL="0" distR="0">
            <wp:extent cx="2807970" cy="49999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07970" cy="4999990"/>
                    </a:xfrm>
                    <a:prstGeom prst="rect">
                      <a:avLst/>
                    </a:prstGeom>
                    <a:noFill/>
                    <a:ln>
                      <a:noFill/>
                    </a:ln>
                  </pic:spPr>
                </pic:pic>
              </a:graphicData>
            </a:graphic>
          </wp:inline>
        </w:drawing>
      </w:r>
    </w:p>
    <w:p>
      <w:pPr>
        <w:widowControl/>
        <w:ind w:firstLine="640" w:firstLineChars="200"/>
        <w:jc w:val="left"/>
        <w:rPr>
          <w:rFonts w:ascii="仿宋" w:hAnsi="仿宋" w:eastAsia="仿宋"/>
          <w:sz w:val="32"/>
          <w:szCs w:val="32"/>
        </w:rPr>
      </w:pPr>
      <w:r>
        <w:rPr>
          <w:rFonts w:hint="eastAsia" w:ascii="仿宋" w:hAnsi="仿宋" w:eastAsia="仿宋"/>
          <w:sz w:val="32"/>
          <w:szCs w:val="32"/>
        </w:rPr>
        <w:t>第五步：根据提示完善信息和上传材料。</w:t>
      </w:r>
    </w:p>
    <w:p>
      <w:pPr>
        <w:widowControl/>
        <w:ind w:firstLine="420" w:firstLineChars="200"/>
        <w:jc w:val="left"/>
        <w:rPr>
          <w:rFonts w:ascii="仿宋" w:hAnsi="仿宋" w:eastAsia="仿宋"/>
          <w:sz w:val="32"/>
          <w:szCs w:val="32"/>
        </w:rPr>
      </w:pPr>
      <w:r>
        <w:drawing>
          <wp:inline distT="0" distB="0" distL="0" distR="0">
            <wp:extent cx="3618865" cy="8237855"/>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3619048" cy="8238095"/>
                    </a:xfrm>
                    <a:prstGeom prst="rect">
                      <a:avLst/>
                    </a:prstGeom>
                  </pic:spPr>
                </pic:pic>
              </a:graphicData>
            </a:graphic>
          </wp:inline>
        </w:drawing>
      </w:r>
    </w:p>
    <w:p>
      <w:pPr>
        <w:widowControl/>
        <w:ind w:firstLine="640" w:firstLineChars="200"/>
        <w:jc w:val="left"/>
        <w:rPr>
          <w:rFonts w:ascii="仿宋" w:hAnsi="仿宋" w:eastAsia="仿宋"/>
          <w:sz w:val="32"/>
          <w:szCs w:val="32"/>
        </w:rPr>
      </w:pPr>
      <w:r>
        <w:rPr>
          <w:rFonts w:hint="eastAsia" w:ascii="仿宋" w:hAnsi="仿宋" w:eastAsia="仿宋"/>
          <w:sz w:val="32"/>
          <w:szCs w:val="32"/>
        </w:rPr>
        <w:t>第六步：底部“我的”菜单里查询办件进度</w:t>
      </w:r>
      <w:bookmarkEnd w:id="1"/>
      <w:r>
        <w:rPr>
          <w:rFonts w:hint="eastAsia" w:ascii="仿宋" w:hAnsi="仿宋" w:eastAsia="仿宋"/>
          <w:sz w:val="32"/>
          <w:szCs w:val="32"/>
        </w:rPr>
        <w:t>。</w:t>
      </w:r>
    </w:p>
    <w:p>
      <w:pPr>
        <w:widowControl/>
        <w:ind w:firstLine="420" w:firstLineChars="200"/>
        <w:jc w:val="left"/>
        <w:rPr>
          <w:rFonts w:ascii="仿宋" w:hAnsi="仿宋" w:eastAsia="仿宋"/>
          <w:sz w:val="32"/>
          <w:szCs w:val="32"/>
        </w:rPr>
      </w:pPr>
      <w:r>
        <w:drawing>
          <wp:inline distT="0" distB="0" distL="0" distR="0">
            <wp:extent cx="2952750" cy="51123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2955523" cy="5117815"/>
                    </a:xfrm>
                    <a:prstGeom prst="rect">
                      <a:avLst/>
                    </a:prstGeom>
                  </pic:spPr>
                </pic:pic>
              </a:graphicData>
            </a:graphic>
          </wp:inline>
        </w:drawing>
      </w:r>
    </w:p>
    <w:p>
      <w:pPr>
        <w:rPr>
          <w:rFonts w:ascii="仿宋" w:hAnsi="仿宋" w:eastAsia="仿宋"/>
          <w:sz w:val="32"/>
          <w:szCs w:val="32"/>
        </w:rPr>
      </w:pPr>
    </w:p>
    <w:sectPr>
      <w:pgSz w:w="11906" w:h="16838"/>
      <w:pgMar w:top="1440" w:right="1558" w:bottom="1276"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4E1"/>
    <w:rsid w:val="00032FCC"/>
    <w:rsid w:val="00042994"/>
    <w:rsid w:val="00045462"/>
    <w:rsid w:val="00070818"/>
    <w:rsid w:val="000B1DDC"/>
    <w:rsid w:val="000E328A"/>
    <w:rsid w:val="000F4B70"/>
    <w:rsid w:val="000F711C"/>
    <w:rsid w:val="00102EE1"/>
    <w:rsid w:val="001138E1"/>
    <w:rsid w:val="0014548D"/>
    <w:rsid w:val="00171E26"/>
    <w:rsid w:val="0018189F"/>
    <w:rsid w:val="00182CB1"/>
    <w:rsid w:val="00183BE5"/>
    <w:rsid w:val="001939FA"/>
    <w:rsid w:val="001D0244"/>
    <w:rsid w:val="001E05BE"/>
    <w:rsid w:val="00211A6C"/>
    <w:rsid w:val="00226599"/>
    <w:rsid w:val="0023505D"/>
    <w:rsid w:val="00247F24"/>
    <w:rsid w:val="002647C5"/>
    <w:rsid w:val="0026774C"/>
    <w:rsid w:val="00274206"/>
    <w:rsid w:val="00281E34"/>
    <w:rsid w:val="002837F0"/>
    <w:rsid w:val="00285904"/>
    <w:rsid w:val="00287373"/>
    <w:rsid w:val="002C1798"/>
    <w:rsid w:val="00336A82"/>
    <w:rsid w:val="0034030B"/>
    <w:rsid w:val="0035099B"/>
    <w:rsid w:val="00375186"/>
    <w:rsid w:val="003A2957"/>
    <w:rsid w:val="003B1181"/>
    <w:rsid w:val="003B2A93"/>
    <w:rsid w:val="003B6F22"/>
    <w:rsid w:val="003B7843"/>
    <w:rsid w:val="003D285B"/>
    <w:rsid w:val="003E2AD5"/>
    <w:rsid w:val="003E63AC"/>
    <w:rsid w:val="00401DD7"/>
    <w:rsid w:val="00425987"/>
    <w:rsid w:val="00445E8D"/>
    <w:rsid w:val="004565D3"/>
    <w:rsid w:val="00457B20"/>
    <w:rsid w:val="004903A7"/>
    <w:rsid w:val="004D6A14"/>
    <w:rsid w:val="004E3E94"/>
    <w:rsid w:val="005114EE"/>
    <w:rsid w:val="00522476"/>
    <w:rsid w:val="005408C1"/>
    <w:rsid w:val="005409AF"/>
    <w:rsid w:val="0054205B"/>
    <w:rsid w:val="00562EE9"/>
    <w:rsid w:val="005708EB"/>
    <w:rsid w:val="00586D5E"/>
    <w:rsid w:val="005956F2"/>
    <w:rsid w:val="005A39A3"/>
    <w:rsid w:val="005D0B66"/>
    <w:rsid w:val="005E1260"/>
    <w:rsid w:val="005E511C"/>
    <w:rsid w:val="006047B4"/>
    <w:rsid w:val="0062761C"/>
    <w:rsid w:val="00635376"/>
    <w:rsid w:val="00647074"/>
    <w:rsid w:val="006658A5"/>
    <w:rsid w:val="006716BA"/>
    <w:rsid w:val="00675CC5"/>
    <w:rsid w:val="00676A5F"/>
    <w:rsid w:val="00693F21"/>
    <w:rsid w:val="006B056D"/>
    <w:rsid w:val="006B3ABC"/>
    <w:rsid w:val="006F13C2"/>
    <w:rsid w:val="006F412E"/>
    <w:rsid w:val="00720971"/>
    <w:rsid w:val="007224FB"/>
    <w:rsid w:val="00734D01"/>
    <w:rsid w:val="00767CB7"/>
    <w:rsid w:val="00787AAD"/>
    <w:rsid w:val="00794A06"/>
    <w:rsid w:val="007E2E2D"/>
    <w:rsid w:val="007F52C0"/>
    <w:rsid w:val="007F63B1"/>
    <w:rsid w:val="0085511F"/>
    <w:rsid w:val="008626BB"/>
    <w:rsid w:val="00863204"/>
    <w:rsid w:val="008648DA"/>
    <w:rsid w:val="00871F3A"/>
    <w:rsid w:val="00886FBA"/>
    <w:rsid w:val="008B16C3"/>
    <w:rsid w:val="008B741B"/>
    <w:rsid w:val="008F0D4A"/>
    <w:rsid w:val="009109FD"/>
    <w:rsid w:val="0092076F"/>
    <w:rsid w:val="00933724"/>
    <w:rsid w:val="00935C66"/>
    <w:rsid w:val="009A57B5"/>
    <w:rsid w:val="009B6BEA"/>
    <w:rsid w:val="009C0B4E"/>
    <w:rsid w:val="009D70FE"/>
    <w:rsid w:val="00A03556"/>
    <w:rsid w:val="00A0644E"/>
    <w:rsid w:val="00A144B8"/>
    <w:rsid w:val="00A23AD7"/>
    <w:rsid w:val="00A40EBF"/>
    <w:rsid w:val="00A42869"/>
    <w:rsid w:val="00A545F6"/>
    <w:rsid w:val="00A65E5D"/>
    <w:rsid w:val="00A66083"/>
    <w:rsid w:val="00A71B7E"/>
    <w:rsid w:val="00A86C1C"/>
    <w:rsid w:val="00A9045A"/>
    <w:rsid w:val="00A96084"/>
    <w:rsid w:val="00AA0F52"/>
    <w:rsid w:val="00AB0492"/>
    <w:rsid w:val="00AB73F0"/>
    <w:rsid w:val="00AC16C1"/>
    <w:rsid w:val="00AC7915"/>
    <w:rsid w:val="00AD4F0F"/>
    <w:rsid w:val="00AE1263"/>
    <w:rsid w:val="00B054BF"/>
    <w:rsid w:val="00B0663D"/>
    <w:rsid w:val="00B20394"/>
    <w:rsid w:val="00B267FF"/>
    <w:rsid w:val="00B5027C"/>
    <w:rsid w:val="00B50CE7"/>
    <w:rsid w:val="00B66E7A"/>
    <w:rsid w:val="00BA25BC"/>
    <w:rsid w:val="00BD760B"/>
    <w:rsid w:val="00BE31E3"/>
    <w:rsid w:val="00BE780D"/>
    <w:rsid w:val="00C235E4"/>
    <w:rsid w:val="00C30074"/>
    <w:rsid w:val="00C5448A"/>
    <w:rsid w:val="00C55F9D"/>
    <w:rsid w:val="00C57EA3"/>
    <w:rsid w:val="00C71EB4"/>
    <w:rsid w:val="00CF7ED9"/>
    <w:rsid w:val="00D03B0A"/>
    <w:rsid w:val="00D121E5"/>
    <w:rsid w:val="00D414E1"/>
    <w:rsid w:val="00D453C3"/>
    <w:rsid w:val="00D5663B"/>
    <w:rsid w:val="00D578C3"/>
    <w:rsid w:val="00D72E2A"/>
    <w:rsid w:val="00D9395A"/>
    <w:rsid w:val="00DA1455"/>
    <w:rsid w:val="00DB3505"/>
    <w:rsid w:val="00DF2FBE"/>
    <w:rsid w:val="00DF6811"/>
    <w:rsid w:val="00E020B3"/>
    <w:rsid w:val="00E141F1"/>
    <w:rsid w:val="00E466B5"/>
    <w:rsid w:val="00E63123"/>
    <w:rsid w:val="00E717AC"/>
    <w:rsid w:val="00E76230"/>
    <w:rsid w:val="00E85544"/>
    <w:rsid w:val="00EA1029"/>
    <w:rsid w:val="00EA4433"/>
    <w:rsid w:val="00ED3109"/>
    <w:rsid w:val="00F10C89"/>
    <w:rsid w:val="00F11005"/>
    <w:rsid w:val="00F40316"/>
    <w:rsid w:val="00F64F6D"/>
    <w:rsid w:val="00F7232B"/>
    <w:rsid w:val="00F7495F"/>
    <w:rsid w:val="00F8192F"/>
    <w:rsid w:val="00F9201B"/>
    <w:rsid w:val="00F952CB"/>
    <w:rsid w:val="00FB40D7"/>
    <w:rsid w:val="00FD5F58"/>
    <w:rsid w:val="00FF7BD2"/>
    <w:rsid w:val="077D602F"/>
    <w:rsid w:val="0CF42C54"/>
    <w:rsid w:val="145B1412"/>
    <w:rsid w:val="15C745BA"/>
    <w:rsid w:val="16F612AF"/>
    <w:rsid w:val="1E225E00"/>
    <w:rsid w:val="24C677BD"/>
    <w:rsid w:val="28EB1DAF"/>
    <w:rsid w:val="29C35265"/>
    <w:rsid w:val="30FC561B"/>
    <w:rsid w:val="474D0853"/>
    <w:rsid w:val="4F9E3DD3"/>
    <w:rsid w:val="578A5B00"/>
    <w:rsid w:val="582B7DB3"/>
    <w:rsid w:val="5AE35EA5"/>
    <w:rsid w:val="5E44595F"/>
    <w:rsid w:val="69822B04"/>
    <w:rsid w:val="6AE27CD0"/>
    <w:rsid w:val="6B6D5086"/>
    <w:rsid w:val="71C045BD"/>
    <w:rsid w:val="72C74AFC"/>
    <w:rsid w:val="738A7AD0"/>
    <w:rsid w:val="793C5B39"/>
    <w:rsid w:val="799C5DBB"/>
    <w:rsid w:val="7F295975"/>
    <w:rsid w:val="7F4A2C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0"/>
    <w:pPr>
      <w:keepNext/>
      <w:keepLines/>
      <w:spacing w:before="340" w:after="330" w:line="576" w:lineRule="auto"/>
      <w:outlineLvl w:val="0"/>
    </w:pPr>
    <w:rPr>
      <w:rFonts w:ascii="Times New Roman" w:hAnsi="Times New Roman" w:eastAsia="宋体" w:cs="Times New Roman"/>
      <w:b/>
      <w:kern w:val="44"/>
      <w:sz w:val="44"/>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99"/>
    <w:pPr>
      <w:spacing w:before="100" w:beforeAutospacing="1" w:after="100" w:afterAutospacing="1"/>
      <w:jc w:val="left"/>
    </w:pPr>
    <w:rPr>
      <w:rFonts w:ascii="Calibri" w:hAnsi="Calibri" w:eastAsia="宋体" w:cs="Times New Roman"/>
      <w:kern w:val="0"/>
      <w:sz w:val="24"/>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未处理的提及1"/>
    <w:basedOn w:val="7"/>
    <w:semiHidden/>
    <w:unhideWhenUsed/>
    <w:qFormat/>
    <w:uiPriority w:val="99"/>
    <w:rPr>
      <w:color w:val="605E5C"/>
      <w:shd w:val="clear" w:color="auto" w:fill="E1DFDD"/>
    </w:rPr>
  </w:style>
  <w:style w:type="character" w:customStyle="1" w:styleId="13">
    <w:name w:val="标题 1 字符"/>
    <w:basedOn w:val="7"/>
    <w:link w:val="2"/>
    <w:uiPriority w:val="0"/>
    <w:rPr>
      <w:rFonts w:ascii="Times New Roman" w:hAnsi="Times New Roman" w:eastAsia="宋体" w:cs="Times New Roman"/>
      <w:b/>
      <w:kern w:val="44"/>
      <w:sz w:val="4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91</Words>
  <Characters>523</Characters>
  <Lines>4</Lines>
  <Paragraphs>1</Paragraphs>
  <TotalTime>19</TotalTime>
  <ScaleCrop>false</ScaleCrop>
  <LinksUpToDate>false</LinksUpToDate>
  <CharactersWithSpaces>613</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2020-01-31T10:03:00Z</dcterms:created>
  <dc:creator>Steve Lin (林浩)-云服务集团</dc:creator>
  <cp:lastModifiedBy>张兴忠18278671436:18077606926</cp:lastModifiedBy>
  <dcterms:modified xsi:type="dcterms:W3CDTF">2021-04-25T03:16:16Z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