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方正小标宋简体" w:hAnsi="方正小标宋简体" w:eastAsia="方正小标宋简体" w:cs="方正小标宋简体"/>
          <w:i w:val="0"/>
          <w:iCs w:val="0"/>
          <w:caps w:val="0"/>
          <w:color w:val="000000"/>
          <w:spacing w:val="0"/>
          <w:sz w:val="44"/>
          <w:szCs w:val="44"/>
          <w:lang w:val="en-US" w:eastAsia="zh-CN"/>
        </w:rPr>
      </w:pPr>
      <w:r>
        <w:rPr>
          <w:rFonts w:hint="eastAsia" w:ascii="方正小标宋简体" w:hAnsi="方正小标宋简体" w:eastAsia="方正小标宋简体" w:cs="方正小标宋简体"/>
          <w:i w:val="0"/>
          <w:iCs w:val="0"/>
          <w:caps w:val="0"/>
          <w:color w:val="000000"/>
          <w:spacing w:val="0"/>
          <w:sz w:val="44"/>
          <w:szCs w:val="44"/>
        </w:rPr>
        <w:t>毕节市</w:t>
      </w:r>
      <w:r>
        <w:rPr>
          <w:rFonts w:hint="eastAsia" w:ascii="方正小标宋简体" w:hAnsi="方正小标宋简体" w:eastAsia="方正小标宋简体" w:cs="方正小标宋简体"/>
          <w:i w:val="0"/>
          <w:iCs w:val="0"/>
          <w:caps w:val="0"/>
          <w:color w:val="000000"/>
          <w:spacing w:val="0"/>
          <w:sz w:val="44"/>
          <w:szCs w:val="44"/>
          <w:lang w:val="en-US" w:eastAsia="zh-CN"/>
        </w:rPr>
        <w:t>工业和信息化局</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方正小标宋简体" w:hAnsi="方正小标宋简体" w:eastAsia="方正小标宋简体" w:cs="方正小标宋简体"/>
          <w:i w:val="0"/>
          <w:iCs w:val="0"/>
          <w:caps w:val="0"/>
          <w:color w:val="000000"/>
          <w:spacing w:val="0"/>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rPr>
        <w:t>202</w:t>
      </w:r>
      <w:r>
        <w:rPr>
          <w:rFonts w:hint="eastAsia" w:ascii="方正小标宋简体" w:hAnsi="方正小标宋简体" w:eastAsia="方正小标宋简体" w:cs="方正小标宋简体"/>
          <w:i w:val="0"/>
          <w:iCs w:val="0"/>
          <w:caps w:val="0"/>
          <w:color w:val="000000"/>
          <w:spacing w:val="0"/>
          <w:sz w:val="44"/>
          <w:szCs w:val="44"/>
          <w:lang w:val="en-US" w:eastAsia="zh-CN"/>
        </w:rPr>
        <w:t>2</w:t>
      </w:r>
      <w:r>
        <w:rPr>
          <w:rFonts w:hint="eastAsia" w:ascii="方正小标宋简体" w:hAnsi="方正小标宋简体" w:eastAsia="方正小标宋简体" w:cs="方正小标宋简体"/>
          <w:i w:val="0"/>
          <w:iCs w:val="0"/>
          <w:caps w:val="0"/>
          <w:color w:val="000000"/>
          <w:spacing w:val="0"/>
          <w:sz w:val="44"/>
          <w:szCs w:val="44"/>
        </w:rPr>
        <w:t>年第</w:t>
      </w:r>
      <w:r>
        <w:rPr>
          <w:rFonts w:hint="eastAsia" w:ascii="方正小标宋简体" w:hAnsi="方正小标宋简体" w:eastAsia="方正小标宋简体" w:cs="方正小标宋简体"/>
          <w:i w:val="0"/>
          <w:iCs w:val="0"/>
          <w:caps w:val="0"/>
          <w:color w:val="000000"/>
          <w:spacing w:val="0"/>
          <w:sz w:val="44"/>
          <w:szCs w:val="44"/>
          <w:lang w:eastAsia="zh-CN"/>
        </w:rPr>
        <w:t>一</w:t>
      </w:r>
      <w:r>
        <w:rPr>
          <w:rFonts w:hint="eastAsia" w:ascii="方正小标宋简体" w:hAnsi="方正小标宋简体" w:eastAsia="方正小标宋简体" w:cs="方正小标宋简体"/>
          <w:i w:val="0"/>
          <w:iCs w:val="0"/>
          <w:caps w:val="0"/>
          <w:color w:val="000000"/>
          <w:spacing w:val="0"/>
          <w:sz w:val="44"/>
          <w:szCs w:val="44"/>
        </w:rPr>
        <w:t>批次“人才强市”</w:t>
      </w:r>
      <w:r>
        <w:rPr>
          <w:rFonts w:hint="eastAsia" w:ascii="方正小标宋简体" w:hAnsi="方正小标宋简体" w:eastAsia="方正小标宋简体" w:cs="方正小标宋简体"/>
          <w:i w:val="0"/>
          <w:iCs w:val="0"/>
          <w:caps w:val="0"/>
          <w:color w:val="000000"/>
          <w:spacing w:val="0"/>
          <w:sz w:val="44"/>
          <w:szCs w:val="44"/>
          <w:lang w:eastAsia="zh-CN"/>
        </w:rPr>
        <w:t>引才面试</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lang w:eastAsia="zh-CN"/>
        </w:rPr>
        <w:t>工作</w:t>
      </w:r>
      <w:r>
        <w:rPr>
          <w:rFonts w:hint="eastAsia" w:ascii="方正小标宋简体" w:hAnsi="方正小标宋简体" w:eastAsia="方正小标宋简体" w:cs="方正小标宋简体"/>
          <w:sz w:val="44"/>
          <w:szCs w:val="44"/>
        </w:rPr>
        <w:t>新冠疫情防控实施方案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2022年5月15日开展</w:t>
      </w:r>
      <w:r>
        <w:rPr>
          <w:rFonts w:hint="eastAsia" w:ascii="仿宋_GB2312" w:hAnsi="仿宋_GB2312" w:eastAsia="仿宋_GB2312" w:cs="仿宋_GB2312"/>
          <w:i w:val="0"/>
          <w:iCs w:val="0"/>
          <w:caps w:val="0"/>
          <w:color w:val="000000"/>
          <w:spacing w:val="0"/>
          <w:sz w:val="32"/>
          <w:szCs w:val="32"/>
        </w:rPr>
        <w:t>202</w:t>
      </w: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rPr>
        <w:t>年第</w:t>
      </w:r>
      <w:r>
        <w:rPr>
          <w:rFonts w:hint="eastAsia" w:ascii="仿宋_GB2312" w:hAnsi="仿宋_GB2312" w:eastAsia="仿宋_GB2312" w:cs="仿宋_GB2312"/>
          <w:i w:val="0"/>
          <w:iCs w:val="0"/>
          <w:caps w:val="0"/>
          <w:color w:val="000000"/>
          <w:spacing w:val="0"/>
          <w:sz w:val="32"/>
          <w:szCs w:val="32"/>
          <w:lang w:eastAsia="zh-CN"/>
        </w:rPr>
        <w:t>一</w:t>
      </w:r>
      <w:r>
        <w:rPr>
          <w:rFonts w:hint="eastAsia" w:ascii="仿宋_GB2312" w:hAnsi="仿宋_GB2312" w:eastAsia="仿宋_GB2312" w:cs="仿宋_GB2312"/>
          <w:i w:val="0"/>
          <w:iCs w:val="0"/>
          <w:caps w:val="0"/>
          <w:color w:val="000000"/>
          <w:spacing w:val="0"/>
          <w:sz w:val="32"/>
          <w:szCs w:val="32"/>
        </w:rPr>
        <w:t>批次“人才强市”</w:t>
      </w:r>
      <w:r>
        <w:rPr>
          <w:rFonts w:hint="eastAsia" w:ascii="仿宋_GB2312" w:hAnsi="仿宋_GB2312" w:eastAsia="仿宋_GB2312" w:cs="仿宋_GB2312"/>
          <w:i w:val="0"/>
          <w:iCs w:val="0"/>
          <w:caps w:val="0"/>
          <w:color w:val="000000"/>
          <w:spacing w:val="0"/>
          <w:sz w:val="32"/>
          <w:szCs w:val="32"/>
          <w:lang w:eastAsia="zh-CN"/>
        </w:rPr>
        <w:t>引才面试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面试的</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如遇疫情防控突发紧急情况，面试工作根据实际情况予以延期。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面试考生43人、考务工作人员18人，合计61人。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w:t>
      </w:r>
      <w:r>
        <w:rPr>
          <w:rFonts w:hint="eastAsia" w:ascii="仿宋_GB2312" w:hAnsi="仿宋_GB2312" w:cs="仿宋_GB2312"/>
          <w:b/>
          <w:bCs/>
          <w:color w:val="auto"/>
          <w:sz w:val="32"/>
          <w:szCs w:val="32"/>
          <w:lang w:val="en-US" w:eastAsia="zh-CN"/>
        </w:rPr>
        <w:t>加面试</w:t>
      </w:r>
      <w:r>
        <w:rPr>
          <w:rFonts w:hint="eastAsia" w:ascii="仿宋_GB2312" w:hAnsi="仿宋_GB2312" w:eastAsia="仿宋_GB2312" w:cs="仿宋_GB2312"/>
          <w:b/>
          <w:bCs/>
          <w:color w:val="auto"/>
          <w:sz w:val="32"/>
          <w:szCs w:val="32"/>
          <w:lang w:val="en-US" w:eastAsia="zh-CN"/>
        </w:rPr>
        <w:t>人员和考务工作人员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lang w:val="en-US" w:eastAsia="zh-CN"/>
        </w:rPr>
        <w:t>前28</w:t>
      </w:r>
      <w:r>
        <w:rPr>
          <w:rFonts w:hint="eastAsia" w:ascii="仿宋_GB2312" w:hAnsi="仿宋_GB2312" w:eastAsia="仿宋_GB2312" w:cs="仿宋_GB2312"/>
          <w:color w:val="auto"/>
          <w:sz w:val="32"/>
          <w:szCs w:val="32"/>
        </w:rPr>
        <w:t>天内</w:t>
      </w:r>
      <w:r>
        <w:rPr>
          <w:rFonts w:hint="eastAsia" w:ascii="仿宋_GB2312" w:hAnsi="仿宋_GB2312" w:eastAsia="仿宋_GB2312" w:cs="仿宋_GB2312"/>
          <w:color w:val="auto"/>
          <w:sz w:val="32"/>
          <w:szCs w:val="32"/>
          <w:lang w:eastAsia="zh-CN"/>
        </w:rPr>
        <w:t>中、高风险地区返回人员、</w:t>
      </w:r>
      <w:r>
        <w:rPr>
          <w:rFonts w:hint="eastAsia" w:ascii="仿宋_GB2312" w:hAnsi="仿宋_GB2312" w:eastAsia="仿宋_GB2312" w:cs="仿宋_GB2312"/>
          <w:color w:val="auto"/>
          <w:sz w:val="32"/>
          <w:szCs w:val="32"/>
        </w:rPr>
        <w:t>境外</w:t>
      </w:r>
      <w:r>
        <w:rPr>
          <w:rFonts w:hint="eastAsia" w:ascii="仿宋_GB2312" w:hAnsi="仿宋_GB2312" w:eastAsia="仿宋_GB2312" w:cs="仿宋_GB2312"/>
          <w:color w:val="auto"/>
          <w:sz w:val="32"/>
          <w:szCs w:val="32"/>
          <w:lang w:eastAsia="zh-CN"/>
        </w:rPr>
        <w:t>返回</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楷体_GB2312" w:eastAsia="仿宋_GB2312" w:cs="楷体_GB2312"/>
          <w:color w:val="000000"/>
          <w:kern w:val="0"/>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rPr>
        <w:t>前14天内有本土阳性感染者报告</w:t>
      </w:r>
      <w:r>
        <w:rPr>
          <w:rFonts w:hint="eastAsia" w:ascii="仿宋_GB2312" w:hAnsi="仿宋_GB2312" w:eastAsia="仿宋_GB2312" w:cs="仿宋_GB2312"/>
          <w:color w:val="auto"/>
          <w:sz w:val="32"/>
          <w:szCs w:val="32"/>
          <w:lang w:eastAsia="zh-CN"/>
        </w:rPr>
        <w:t>地所在地级市（直辖市为区）</w:t>
      </w:r>
      <w:r>
        <w:rPr>
          <w:rFonts w:hint="eastAsia" w:ascii="仿宋_GB2312" w:hAnsi="仿宋_GB2312" w:eastAsia="仿宋_GB2312" w:cs="仿宋_GB2312"/>
          <w:color w:val="auto"/>
          <w:sz w:val="32"/>
          <w:szCs w:val="32"/>
        </w:rPr>
        <w:t>低风险地区返回人员</w:t>
      </w:r>
      <w:r>
        <w:rPr>
          <w:rFonts w:hint="eastAsia" w:ascii="仿宋_GB2312" w:hAnsi="仿宋_GB2312" w:eastAsia="仿宋_GB2312" w:cs="仿宋_GB2312"/>
          <w:color w:val="auto"/>
          <w:sz w:val="32"/>
          <w:szCs w:val="32"/>
          <w:lang w:eastAsia="zh-CN"/>
        </w:rPr>
        <w:t>原则上不能参加。</w:t>
      </w:r>
      <w:r>
        <w:rPr>
          <w:rFonts w:hint="eastAsia" w:ascii="仿宋_GB2312" w:hAnsi="仿宋_GB2312" w:eastAsia="仿宋_GB2312" w:cs="仿宋_GB2312"/>
          <w:sz w:val="32"/>
          <w:szCs w:val="32"/>
          <w:lang w:eastAsia="zh-CN"/>
        </w:rPr>
        <w:t>确须参加的（仅针对面试考生</w:t>
      </w:r>
      <w:r>
        <w:rPr>
          <w:rFonts w:hint="eastAsia" w:ascii="仿宋_GB2312" w:hAnsi="楷体_GB2312" w:eastAsia="仿宋_GB2312" w:cs="楷体_GB2312"/>
          <w:color w:val="000000"/>
          <w:kern w:val="0"/>
          <w:sz w:val="32"/>
          <w:szCs w:val="32"/>
          <w:lang w:eastAsia="zh-CN"/>
        </w:rPr>
        <w:t>，</w:t>
      </w:r>
      <w:r>
        <w:rPr>
          <w:rFonts w:hint="eastAsia" w:ascii="仿宋_GB2312" w:hAnsi="楷体_GB2312" w:eastAsia="仿宋_GB2312" w:cs="楷体_GB2312"/>
          <w:color w:val="000000"/>
          <w:kern w:val="0"/>
          <w:sz w:val="32"/>
          <w:szCs w:val="32"/>
        </w:rPr>
        <w:t>有本土阳性感染者报告市（州）低风险地区</w:t>
      </w:r>
      <w:r>
        <w:rPr>
          <w:rFonts w:hint="eastAsia" w:ascii="仿宋_GB2312" w:hAnsi="楷体_GB2312" w:eastAsia="仿宋_GB2312" w:cs="楷体_GB2312"/>
          <w:color w:val="000000"/>
          <w:kern w:val="0"/>
          <w:sz w:val="32"/>
          <w:szCs w:val="32"/>
          <w:lang w:eastAsia="zh-CN"/>
        </w:rPr>
        <w:t>旅居史人员不能参加考务工作。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面试当日须有分类落实的“五天三检”核酸检测阴性证明</w:t>
      </w:r>
      <w:r>
        <w:rPr>
          <w:rFonts w:hint="eastAsia" w:ascii="仿宋_GB2312" w:hAnsi="楷体_GB2312" w:eastAsia="仿宋_GB2312" w:cs="楷体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“五天三检”具体措施</w:t>
      </w:r>
      <w:r>
        <w:rPr>
          <w:rFonts w:hint="eastAsia" w:ascii="仿宋_GB2312" w:hAnsi="仿宋_GB2312" w:eastAsia="仿宋_GB2312" w:cs="仿宋_GB2312"/>
          <w:color w:val="auto"/>
          <w:sz w:val="32"/>
          <w:szCs w:val="32"/>
          <w:lang w:val="en-US" w:eastAsia="zh-CN"/>
        </w:rPr>
        <w:t>见2022年3月19日“健康贵州”微信公众号发布文章《速看！我省疫情防控政策调整变化啦》。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仍处于康复或隔离期的确诊病例、无症状感染者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）仍处于医学隔离期或观察期的</w:t>
      </w:r>
      <w:r>
        <w:rPr>
          <w:rFonts w:hint="eastAsia" w:ascii="仿宋_GB2312" w:hAnsi="仿宋_GB2312" w:eastAsia="仿宋_GB2312" w:cs="仿宋_GB2312"/>
          <w:color w:val="auto"/>
          <w:sz w:val="32"/>
          <w:szCs w:val="32"/>
        </w:rPr>
        <w:t>密切接触者</w:t>
      </w:r>
      <w:r>
        <w:rPr>
          <w:rFonts w:hint="eastAsia" w:ascii="仿宋_GB2312" w:hAnsi="仿宋_GB2312" w:eastAsia="仿宋_GB2312" w:cs="仿宋_GB2312"/>
          <w:color w:val="auto"/>
          <w:sz w:val="32"/>
          <w:szCs w:val="32"/>
          <w:lang w:eastAsia="zh-CN"/>
        </w:rPr>
        <w:t>和次密切接触者。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与阳性</w:t>
      </w:r>
      <w:r>
        <w:rPr>
          <w:rFonts w:hint="eastAsia" w:ascii="仿宋_GB2312" w:hAnsi="仿宋_GB2312" w:eastAsia="仿宋_GB2312" w:cs="仿宋_GB2312"/>
          <w:color w:val="auto"/>
          <w:sz w:val="32"/>
          <w:szCs w:val="32"/>
          <w:lang w:val="en-US" w:eastAsia="zh-CN"/>
        </w:rPr>
        <w:t>感染者</w:t>
      </w:r>
      <w:r>
        <w:rPr>
          <w:rFonts w:hint="eastAsia" w:ascii="仿宋_GB2312" w:hAnsi="仿宋_GB2312" w:eastAsia="仿宋_GB2312" w:cs="仿宋_GB2312"/>
          <w:color w:val="auto"/>
          <w:sz w:val="32"/>
          <w:szCs w:val="32"/>
        </w:rPr>
        <w:t>同乘交通工具或活动轨迹有交集的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参加面试人员、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参加面试人员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eastAsia="zh-CN"/>
        </w:rPr>
        <w:t>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按照《关于进一步加强新冠肺炎疫情防控工作的通知》（黔府办发电〔2021〕163号）要求，本次面试工作需安排集体用餐，参加面试的所有人员均须提供报到前48小时内核酸检测阴性证明。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核酸采样后，所有人员均要</w:t>
      </w:r>
      <w:r>
        <w:rPr>
          <w:rFonts w:hint="eastAsia" w:ascii="仿宋_GB2312" w:hAnsi="仿宋_GB2312" w:eastAsia="仿宋_GB2312" w:cs="仿宋_GB2312"/>
          <w:color w:val="000000" w:themeColor="text1"/>
          <w:sz w:val="32"/>
          <w:szCs w:val="32"/>
          <w14:textFill>
            <w14:solidFill>
              <w14:schemeClr w14:val="tx1"/>
            </w14:solidFill>
          </w14:textFill>
        </w:rPr>
        <w:t>做好个人防护、不得乘坐公共交通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避免与无关人员接触。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（3）面试前14天内有省外无本土病例报告市（州）旅居史的来（返）毕人员，须持有48小时内核酸检测阴性证明。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5.疫苗接种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2"/>
          <w:sz w:val="32"/>
          <w:szCs w:val="32"/>
          <w:lang w:eastAsia="zh-CN"/>
        </w:rPr>
        <w:t>加面试</w:t>
      </w:r>
      <w:r>
        <w:rPr>
          <w:rFonts w:hint="eastAsia" w:ascii="Times New Roman" w:hAnsi="Times New Roman" w:eastAsia="仿宋_GB2312" w:cs="Times New Roman"/>
          <w:kern w:val="2"/>
          <w:sz w:val="32"/>
          <w:szCs w:val="32"/>
          <w:lang w:val="en-US" w:eastAsia="zh-CN"/>
        </w:rPr>
        <w:t>考生</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上午8:00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8:20起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8:40</w:t>
      </w:r>
      <w:r>
        <w:rPr>
          <w:rFonts w:hint="default" w:ascii="Times New Roman" w:hAnsi="Times New Roman" w:eastAsia="仿宋_GB2312" w:cs="Times New Roman"/>
          <w:sz w:val="32"/>
          <w:szCs w:val="32"/>
        </w:rPr>
        <w:t>仍未到达指定</w:t>
      </w:r>
      <w:r>
        <w:rPr>
          <w:rFonts w:hint="eastAsia" w:ascii="Times New Roman" w:hAnsi="Times New Roman" w:eastAsia="仿宋_GB2312" w:cs="Times New Roman"/>
          <w:sz w:val="32"/>
          <w:szCs w:val="32"/>
          <w:lang w:eastAsia="zh-CN"/>
        </w:rPr>
        <w:t>候</w:t>
      </w:r>
      <w:r>
        <w:rPr>
          <w:rFonts w:hint="default" w:ascii="Times New Roman" w:hAnsi="Times New Roman" w:eastAsia="仿宋_GB2312" w:cs="Times New Roman"/>
          <w:sz w:val="32"/>
          <w:szCs w:val="32"/>
        </w:rPr>
        <w:t>考室的</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4"/>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default" w:ascii="Times New Roman" w:hAnsi="Times New Roman" w:eastAsia="楷体_GB2312" w:cs="Times New Roman"/>
          <w:color w:val="000000"/>
          <w:sz w:val="32"/>
          <w:szCs w:val="32"/>
        </w:rPr>
        <w:t>（一）加强组织领导</w:t>
      </w:r>
    </w:p>
    <w:p>
      <w:pPr>
        <w:pStyle w:val="4"/>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市工业和信息化局</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面试期间的</w:t>
      </w:r>
      <w:r>
        <w:rPr>
          <w:rFonts w:hint="eastAsia" w:ascii="仿宋_GB2312" w:hAnsi="仿宋_GB2312" w:eastAsia="仿宋_GB2312" w:cs="仿宋_GB2312"/>
          <w:color w:val="000000"/>
          <w:sz w:val="32"/>
          <w:szCs w:val="32"/>
        </w:rPr>
        <w:t>疫情防控工作。</w:t>
      </w:r>
    </w:p>
    <w:p>
      <w:pPr>
        <w:pStyle w:val="9"/>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面试</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面试</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人员消毒等措施。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市工业和信息化局</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市工业和信息化局</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附件：新冠肺炎疫情防控要求个人防疫情况申报表</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中共毕节市工业和信息化局党组</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2022年4月22日</w:t>
      </w:r>
    </w:p>
    <w:p>
      <w:pPr>
        <w:pStyle w:val="6"/>
        <w:keepNext w:val="0"/>
        <w:keepLines w:val="0"/>
        <w:pageBreakBefore w:val="0"/>
        <w:kinsoku/>
        <w:wordWrap/>
        <w:overflowPunct/>
        <w:topLinePunct w:val="0"/>
        <w:autoSpaceDE/>
        <w:autoSpaceDN/>
        <w:bidi w:val="0"/>
        <w:spacing w:line="560" w:lineRule="exact"/>
        <w:ind w:firstLine="0" w:firstLineChars="0"/>
        <w:textAlignment w:val="auto"/>
        <w:rPr>
          <w:rFonts w:eastAsia="黑体"/>
          <w:color w:val="000000"/>
          <w:sz w:val="32"/>
          <w:szCs w:val="32"/>
        </w:rPr>
      </w:pPr>
    </w:p>
    <w:p>
      <w:pPr>
        <w:pStyle w:val="6"/>
        <w:keepNext w:val="0"/>
        <w:keepLines w:val="0"/>
        <w:pageBreakBefore w:val="0"/>
        <w:kinsoku/>
        <w:wordWrap/>
        <w:overflowPunct/>
        <w:topLinePunct w:val="0"/>
        <w:autoSpaceDE/>
        <w:autoSpaceDN/>
        <w:bidi w:val="0"/>
        <w:spacing w:line="560" w:lineRule="exact"/>
        <w:ind w:firstLine="0" w:firstLineChars="0"/>
        <w:textAlignment w:val="auto"/>
        <w:rPr>
          <w:rFonts w:eastAsia="黑体"/>
          <w:color w:val="000000"/>
          <w:sz w:val="32"/>
          <w:szCs w:val="32"/>
        </w:rPr>
      </w:pPr>
    </w:p>
    <w:p>
      <w:pPr>
        <w:pStyle w:val="6"/>
        <w:ind w:firstLine="0" w:firstLineChars="0"/>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bookmarkStart w:id="0" w:name="_GoBack"/>
      <w:bookmarkEnd w:id="0"/>
    </w:p>
    <w:p>
      <w:pPr>
        <w:pStyle w:val="6"/>
        <w:ind w:firstLine="0" w:firstLineChars="0"/>
        <w:rPr>
          <w:rFonts w:eastAsia="黑体"/>
          <w:color w:val="000000"/>
          <w:sz w:val="32"/>
          <w:szCs w:val="32"/>
        </w:rPr>
      </w:pPr>
      <w:r>
        <w:rPr>
          <w:rFonts w:eastAsia="黑体"/>
          <w:color w:val="000000"/>
          <w:sz w:val="32"/>
          <w:szCs w:val="32"/>
        </w:rPr>
        <w:t>附件</w:t>
      </w:r>
    </w:p>
    <w:p>
      <w:pPr>
        <w:pStyle w:val="6"/>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7"/>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9"/>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9"/>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17" w:right="18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A03863"/>
    <w:rsid w:val="026C7714"/>
    <w:rsid w:val="02DD3C48"/>
    <w:rsid w:val="037277DE"/>
    <w:rsid w:val="04ED7D8A"/>
    <w:rsid w:val="053A0327"/>
    <w:rsid w:val="05683784"/>
    <w:rsid w:val="057C3BE1"/>
    <w:rsid w:val="05D733E3"/>
    <w:rsid w:val="05E07F54"/>
    <w:rsid w:val="0B166692"/>
    <w:rsid w:val="0B4708A0"/>
    <w:rsid w:val="0C900FFF"/>
    <w:rsid w:val="0E1E4016"/>
    <w:rsid w:val="0E500B56"/>
    <w:rsid w:val="0EEC3250"/>
    <w:rsid w:val="102710D8"/>
    <w:rsid w:val="10E971C7"/>
    <w:rsid w:val="113E395D"/>
    <w:rsid w:val="1237082D"/>
    <w:rsid w:val="126D3F7A"/>
    <w:rsid w:val="13A761A4"/>
    <w:rsid w:val="142A301C"/>
    <w:rsid w:val="152679E9"/>
    <w:rsid w:val="154F6184"/>
    <w:rsid w:val="156B2145"/>
    <w:rsid w:val="15BF12C3"/>
    <w:rsid w:val="15FF55DC"/>
    <w:rsid w:val="172219D3"/>
    <w:rsid w:val="173E7F6A"/>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8AD5549"/>
    <w:rsid w:val="2FAD3A6E"/>
    <w:rsid w:val="30C166B8"/>
    <w:rsid w:val="31EC59D5"/>
    <w:rsid w:val="3285301D"/>
    <w:rsid w:val="32E144EB"/>
    <w:rsid w:val="32EA169B"/>
    <w:rsid w:val="356A0055"/>
    <w:rsid w:val="366B661D"/>
    <w:rsid w:val="37EA7B10"/>
    <w:rsid w:val="38A20015"/>
    <w:rsid w:val="39D87645"/>
    <w:rsid w:val="3D4228CF"/>
    <w:rsid w:val="3F3224C2"/>
    <w:rsid w:val="4039566E"/>
    <w:rsid w:val="420325ED"/>
    <w:rsid w:val="428D5931"/>
    <w:rsid w:val="43455072"/>
    <w:rsid w:val="43964CA1"/>
    <w:rsid w:val="43A93482"/>
    <w:rsid w:val="44CE6E8E"/>
    <w:rsid w:val="44F0018B"/>
    <w:rsid w:val="45953986"/>
    <w:rsid w:val="45AC34B3"/>
    <w:rsid w:val="470A3DC5"/>
    <w:rsid w:val="473D2DE2"/>
    <w:rsid w:val="483F6996"/>
    <w:rsid w:val="484F741F"/>
    <w:rsid w:val="4892294C"/>
    <w:rsid w:val="48C02904"/>
    <w:rsid w:val="48C84D49"/>
    <w:rsid w:val="499C2029"/>
    <w:rsid w:val="49AE3E6E"/>
    <w:rsid w:val="4A6150EB"/>
    <w:rsid w:val="4C146344"/>
    <w:rsid w:val="4D070162"/>
    <w:rsid w:val="4D38566C"/>
    <w:rsid w:val="512A0DCE"/>
    <w:rsid w:val="54596C98"/>
    <w:rsid w:val="55101C5F"/>
    <w:rsid w:val="55FB3AA0"/>
    <w:rsid w:val="56D24D6C"/>
    <w:rsid w:val="58B139C7"/>
    <w:rsid w:val="59067845"/>
    <w:rsid w:val="5A7F1F4B"/>
    <w:rsid w:val="5CA472BA"/>
    <w:rsid w:val="5CC37A52"/>
    <w:rsid w:val="5E2F4D70"/>
    <w:rsid w:val="5F56518C"/>
    <w:rsid w:val="5F8121DB"/>
    <w:rsid w:val="607E694C"/>
    <w:rsid w:val="60D109A5"/>
    <w:rsid w:val="62A37F6F"/>
    <w:rsid w:val="64AC1913"/>
    <w:rsid w:val="654A2869"/>
    <w:rsid w:val="66D663FE"/>
    <w:rsid w:val="66D75171"/>
    <w:rsid w:val="66E9025D"/>
    <w:rsid w:val="671C7D11"/>
    <w:rsid w:val="67DA2C2A"/>
    <w:rsid w:val="69940092"/>
    <w:rsid w:val="6B6802A2"/>
    <w:rsid w:val="6BA22BEA"/>
    <w:rsid w:val="6C9154F8"/>
    <w:rsid w:val="6D0A2411"/>
    <w:rsid w:val="6E4B0A6C"/>
    <w:rsid w:val="6F026342"/>
    <w:rsid w:val="70952EBA"/>
    <w:rsid w:val="71D55CAE"/>
    <w:rsid w:val="721E1C7C"/>
    <w:rsid w:val="722C21AA"/>
    <w:rsid w:val="72A97961"/>
    <w:rsid w:val="73092118"/>
    <w:rsid w:val="765E0C40"/>
    <w:rsid w:val="76D6263F"/>
    <w:rsid w:val="77104754"/>
    <w:rsid w:val="7BC942E0"/>
    <w:rsid w:val="7C663F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jc w:val="left"/>
    </w:pPr>
    <w:rPr>
      <w:rFonts w:ascii="Calibri" w:hAnsi="Calibri" w:eastAsia="宋体" w:cs="Times New Roman"/>
      <w:kern w:val="0"/>
      <w:sz w:val="24"/>
    </w:rPr>
  </w:style>
  <w:style w:type="paragraph" w:styleId="5">
    <w:name w:val="Title"/>
    <w:basedOn w:val="1"/>
    <w:next w:val="6"/>
    <w:qFormat/>
    <w:uiPriority w:val="0"/>
    <w:pPr>
      <w:spacing w:line="240" w:lineRule="atLeast"/>
      <w:jc w:val="center"/>
    </w:pPr>
    <w:rPr>
      <w:rFonts w:ascii="Cambria" w:hAnsi="Cambria" w:cs="Cambria"/>
      <w:b/>
      <w:bCs/>
      <w:sz w:val="32"/>
      <w:szCs w:val="32"/>
    </w:rPr>
  </w:style>
  <w:style w:type="paragraph" w:customStyle="1" w:styleId="6">
    <w:name w:val="Body Text Indent1"/>
    <w:basedOn w:val="1"/>
    <w:next w:val="1"/>
    <w:qFormat/>
    <w:uiPriority w:val="0"/>
    <w:pPr>
      <w:ind w:firstLine="420" w:firstLineChars="140"/>
    </w:pPr>
    <w:rPr>
      <w:sz w:val="21"/>
      <w:szCs w:val="21"/>
    </w:rPr>
  </w:style>
  <w:style w:type="paragraph" w:customStyle="1" w:styleId="9">
    <w:name w:val="PwC Normal"/>
    <w:basedOn w:val="1"/>
    <w:qFormat/>
    <w:uiPriority w:val="0"/>
    <w:pPr>
      <w:spacing w:before="180" w:after="180" w:line="240" w:lineRule="atLeast"/>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3864</Words>
  <Characters>3942</Characters>
  <Lines>0</Lines>
  <Paragraphs>0</Paragraphs>
  <TotalTime>50</TotalTime>
  <ScaleCrop>false</ScaleCrop>
  <LinksUpToDate>false</LinksUpToDate>
  <CharactersWithSpaces>4066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8   9</cp:lastModifiedBy>
  <cp:lastPrinted>2022-04-22T02:02:00Z</cp:lastPrinted>
  <dcterms:modified xsi:type="dcterms:W3CDTF">2022-04-22T02:50:51Z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46F127F1ECB542B78868D3D6BA944650</vt:lpwstr>
  </property>
  <property fmtid="{D5CDD505-2E9C-101B-9397-08002B2CF9AE}" pid="4" name="KSOSaveFontToCloudKey">
    <vt:lpwstr>15354578_btnclosed</vt:lpwstr>
  </property>
</Properties>
</file>