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4"/>
          <w:rFonts w:hint="eastAsia" w:ascii="Times New Roman" w:hAnsi="Times New Roman" w:eastAsia="黑体" w:cs="黑体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缙云县消防救援大队公开招聘政府专职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highlight w:val="none"/>
          <w:lang w:val="en-US" w:eastAsia="zh-CN" w:bidi="ar-SA"/>
        </w:rPr>
        <w:t>消防员报名表</w:t>
      </w:r>
    </w:p>
    <w:p>
      <w:pPr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报考岗位：</w:t>
      </w:r>
    </w:p>
    <w:tbl>
      <w:tblPr>
        <w:tblStyle w:val="2"/>
        <w:tblW w:w="9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745"/>
        <w:gridCol w:w="410"/>
        <w:gridCol w:w="863"/>
        <w:gridCol w:w="1244"/>
        <w:gridCol w:w="873"/>
        <w:gridCol w:w="627"/>
        <w:gridCol w:w="1710"/>
        <w:gridCol w:w="17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9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12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近期免冠</w:t>
            </w:r>
          </w:p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一寸</w:t>
            </w:r>
            <w:r>
              <w:rPr>
                <w:rStyle w:val="4"/>
                <w:rFonts w:hint="eastAsia"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（蓝底）</w:t>
            </w: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正照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9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民族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Style w:val="4"/>
                <w:rFonts w:ascii="Times New Roman" w:hAnsi="Times New Roman"/>
                <w:b w:val="0"/>
                <w:bCs w:val="0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 w:val="0"/>
                <w:bCs w:val="0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政治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 w:val="0"/>
                <w:bCs w:val="0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面貌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 w:val="0"/>
                <w:bCs w:val="0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入党（团）</w:t>
            </w:r>
            <w:r>
              <w:rPr>
                <w:rStyle w:val="4"/>
                <w:rFonts w:hint="eastAsia" w:ascii="Times New Roman" w:hAnsi="Times New Roman"/>
                <w:b w:val="0"/>
                <w:bCs w:val="0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时间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789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339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籍贯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宋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家庭住址</w:t>
            </w:r>
          </w:p>
        </w:tc>
        <w:tc>
          <w:tcPr>
            <w:tcW w:w="7516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婚姻状况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7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健康情况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特长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是否部队退伍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71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原工作单位</w:t>
            </w: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持证情况</w:t>
            </w:r>
          </w:p>
        </w:tc>
        <w:tc>
          <w:tcPr>
            <w:tcW w:w="178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个人</w:t>
            </w:r>
          </w:p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工作</w:t>
            </w:r>
          </w:p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简历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2" w:hRule="atLeast"/>
          <w:jc w:val="center"/>
        </w:trPr>
        <w:tc>
          <w:tcPr>
            <w:tcW w:w="9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主要</w:t>
            </w:r>
            <w:r>
              <w:rPr>
                <w:rStyle w:val="4"/>
                <w:rFonts w:hint="eastAsia"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家庭成员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（注：</w:t>
            </w:r>
            <w:r>
              <w:rPr>
                <w:rStyle w:val="4"/>
                <w:rFonts w:hint="eastAsia"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如父母、兄弟姐妹、配偶、子女</w:t>
            </w: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7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奖惩情况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kinsoku/>
              <w:overflowPunct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Style w:val="4"/>
                <w:rFonts w:ascii="Times New Roman" w:hAnsi="Times New Roman" w:eastAsia="Arial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9235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5"/>
              <w:widowControl/>
              <w:kinsoku/>
              <w:overflowPunct/>
              <w:autoSpaceDE/>
              <w:autoSpaceDN/>
              <w:bidi w:val="0"/>
              <w:spacing w:before="0" w:after="0" w:line="500" w:lineRule="exact"/>
              <w:jc w:val="center"/>
              <w:textAlignment w:val="auto"/>
              <w:rPr>
                <w:rStyle w:val="4"/>
                <w:rFonts w:ascii="Times New Roman" w:hAnsi="Times New Roman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本人声明：上述填写内容真实完整，如有不实，本人愿承担一切法律责任。</w:t>
            </w:r>
            <w:r>
              <w:rPr>
                <w:rStyle w:val="4"/>
                <w:rFonts w:hint="eastAsia"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 xml:space="preserve"> </w:t>
            </w:r>
            <w:r>
              <w:rPr>
                <w:rStyle w:val="4"/>
                <w:rFonts w:hint="eastAsia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 xml:space="preserve">        声</w:t>
            </w:r>
            <w:r>
              <w:rPr>
                <w:rStyle w:val="4"/>
                <w:rFonts w:ascii="Times New Roman" w:hAnsi="Times New Roman"/>
                <w:color w:val="333333"/>
                <w:spacing w:val="8"/>
                <w:kern w:val="2"/>
                <w:sz w:val="25"/>
                <w:szCs w:val="25"/>
                <w:highlight w:val="none"/>
                <w:lang w:val="en-US" w:eastAsia="zh-CN" w:bidi="ar-SA"/>
              </w:rPr>
              <w:t>明人（签名）：             年  月   日</w:t>
            </w:r>
          </w:p>
        </w:tc>
      </w:tr>
    </w:tbl>
    <w:p/>
    <w:p>
      <w:pPr>
        <w:jc w:val="both"/>
        <w:textAlignment w:val="baseline"/>
        <w:rPr>
          <w:rStyle w:val="4"/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jc w:val="both"/>
        <w:textAlignment w:val="baseline"/>
        <w:rPr>
          <w:rStyle w:val="4"/>
          <w:rFonts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spacing w:line="560" w:lineRule="exact"/>
        <w:ind w:firstLine="880" w:firstLineChars="200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kern w:val="2"/>
          <w:sz w:val="44"/>
          <w:szCs w:val="44"/>
          <w:highlight w:val="none"/>
          <w:lang w:val="en-US" w:eastAsia="zh-CN" w:bidi="ar-SA"/>
        </w:rPr>
        <w:t>政府专职消防员招聘体能标准</w:t>
      </w:r>
    </w:p>
    <w:p>
      <w:pPr>
        <w:jc w:val="both"/>
        <w:textAlignment w:val="baseline"/>
        <w:rPr>
          <w:rStyle w:val="4"/>
          <w:rFonts w:ascii="Times New Roman" w:hAnsi="Times New Roman"/>
          <w:kern w:val="2"/>
          <w:sz w:val="21"/>
          <w:szCs w:val="22"/>
          <w:highlight w:val="none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Times New Roman" w:hAnsi="Times New Roman"/>
          <w:kern w:val="2"/>
          <w:sz w:val="21"/>
          <w:szCs w:val="22"/>
          <w:highlight w:val="none"/>
          <w:lang w:val="en-US" w:eastAsia="zh-CN" w:bidi="ar-SA"/>
        </w:rPr>
      </w:pPr>
    </w:p>
    <w:tbl>
      <w:tblPr>
        <w:tblStyle w:val="2"/>
        <w:tblW w:w="90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80"/>
        <w:gridCol w:w="1365"/>
        <w:gridCol w:w="1289"/>
        <w:gridCol w:w="1200"/>
        <w:gridCol w:w="1186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项目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标准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60分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70分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80分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90分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b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100分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3000米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14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′00″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′30″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′00″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2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0″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′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100米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15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4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″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0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12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″00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11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″50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单杠引体向上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5</w:t>
            </w:r>
            <w:r>
              <w:rPr>
                <w:rStyle w:val="4"/>
                <w:rFonts w:ascii="Times New Roman" w:hAnsi="Times New Roman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  <w:t>个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9个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11个</w:t>
            </w:r>
          </w:p>
        </w:tc>
        <w:tc>
          <w:tcPr>
            <w:tcW w:w="11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13个</w:t>
            </w:r>
          </w:p>
        </w:tc>
        <w:tc>
          <w:tcPr>
            <w:tcW w:w="1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1</w:t>
            </w:r>
            <w:r>
              <w:rPr>
                <w:rStyle w:val="4"/>
                <w:rFonts w:hint="eastAsia"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5</w:t>
            </w:r>
            <w:r>
              <w:rPr>
                <w:rStyle w:val="4"/>
                <w:rFonts w:ascii="Times New Roman" w:hAnsi="Times New Roman"/>
                <w:color w:val="000000"/>
                <w:kern w:val="2"/>
                <w:sz w:val="24"/>
                <w:szCs w:val="22"/>
                <w:highlight w:val="none"/>
                <w:lang w:val="en-US" w:eastAsia="zh-CN" w:bidi="ar-SA"/>
              </w:rPr>
              <w:t>个</w:t>
            </w:r>
          </w:p>
        </w:tc>
      </w:tr>
    </w:tbl>
    <w:p>
      <w:pPr>
        <w:jc w:val="both"/>
        <w:textAlignment w:val="baseline"/>
        <w:rPr>
          <w:rStyle w:val="4"/>
          <w:rFonts w:ascii="Times New Roman" w:hAnsi="Times New Roman"/>
          <w:kern w:val="2"/>
          <w:sz w:val="21"/>
          <w:szCs w:val="22"/>
          <w:highlight w:val="none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Times New Roman" w:hAnsi="Times New Roman"/>
          <w:kern w:val="2"/>
          <w:sz w:val="21"/>
          <w:szCs w:val="22"/>
          <w:highlight w:val="none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jc w:val="both"/>
        <w:textAlignment w:val="baseline"/>
        <w:rPr>
          <w:rStyle w:val="4"/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hint="eastAsia" w:ascii="Times New Roman" w:hAnsi="Times New Roman" w:eastAsia="黑体" w:cs="黑体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ind w:firstLine="1280" w:firstLineChars="400"/>
        <w:jc w:val="both"/>
        <w:textAlignment w:val="baseline"/>
        <w:rPr>
          <w:rStyle w:val="4"/>
          <w:rFonts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仿宋_GB2312"/>
          <w:kern w:val="2"/>
          <w:sz w:val="32"/>
          <w:szCs w:val="32"/>
          <w:highlight w:val="none"/>
          <w:lang w:val="en-US" w:eastAsia="zh-CN" w:bidi="ar-SA"/>
        </w:rPr>
        <w:t>《中华人民共和国兵役法》应征公民体检标准</w:t>
      </w:r>
    </w:p>
    <w:p>
      <w:pPr>
        <w:ind w:firstLine="3300" w:firstLineChars="10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2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2"/>
          <w:sz w:val="33"/>
          <w:szCs w:val="33"/>
          <w:highlight w:val="none"/>
          <w:lang w:val="en-US" w:eastAsia="zh-CN" w:bidi="ar-SA"/>
        </w:rPr>
        <w:t>第一章外科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第一条 男性身高160cm以上，合格。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第二条 体重符合下列条件的，合格。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男性:不超过标准体重(标准体重kg=身高cm-110)的30%，不低于标准体重的15%;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第三条 颅脑外伤，颅脑畸形，颅脑手术史，脑外伤后综合症，不合格。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第四条 颈部运动功能受限，斜颈，Ⅲ度以上单纯性甲状腺肿，乳腺肿瘤，不合格。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第五条 骨、关节、滑囊疾病或损伤及其后遗症，骨、关节畸形，胸廓畸形，习惯性脱臼，颈、胸、腰椎骨折史，腰椎间盘突出，强直性脊柱炎，影响肢体功能的腱鞘疾病，不合格。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(一)可自行矫正的脊柱侧弯;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(二)四肢单纯性骨折，治愈1年后，X线片显示骨折线消失，复位良好，无功能障碍及后遗症(条件兵除外);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(三)关节弹响排除骨关节疾病或损伤，不影响正常功能的;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(四)大骨节病仅指、趾关节稍粗大，无自觉症状，无功能障碍(仅陆勤人员);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(五)轻度胸廓畸形(条件兵除外)。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第六条 肘关节过伸超过15度，肘关节外翻超过20度，或虽未超过前述规定但存在功能障碍，不合格。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第七条 下蹲不全，两下肢不等长超过2cm，膝内翻股骨内髁间距离和膝外翻胫骨内踝间距离超过7cm(条件兵超过4cm)，或虽未超过前述规定但步态异常，不合格。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轻度下蹲不全(膝后夹角≤45度)，除条件兵外合格。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第八条 手指、足趾残缺或畸形，足底弓完全消失的扁平足，重度皲裂症，不合格。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第九条 恶性肿瘤，面颈部长径超过1cm的良性肿瘤、囊肿，其他部位长径超过3cm的良性肿瘤、囊肿，或虽未超出前述规定但影响功能和训练的，不合格。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第十条 瘢痕体质，面颈部长径超过3cm或影响功能的瘢痕，其他部位影响功能的瘢痕，不合格。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第十一条 面颈部文身，着军队制式体能训练服其他裸露部位长径超过3cm的文身，其他部位长径超过10cm的文身，男性文眉、文眼线、文唇，不合格。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第十二条 脉管炎，动脉瘤，中、重度下肢静脉曲张和精索静脉曲张，不合格。下肢静脉曲张，精索静脉曲张，条件兵不合格。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第十三条 胸、腹腔手术史，疝，脱肛，肛瘘，肛旁脓肿，重度陈旧性肛裂，环状痔，混合痔，不合格。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(一)阑尾炎手术后半年以上，无后遗症;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(二)腹股沟疝、股疝手术后1年以上，无后遗症;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(三)2个以下且长径均在0.8cm以下的混合痔。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第十四条 泌尿生殖系统疾病或损伤及其后遗症，生殖器官畸形或发育不全，单睾，隐睾及其术后，不合格。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(一)无自觉症状的轻度非交通性精索鞘膜积液，不大于健侧睾丸(条件兵除外);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(二)无自觉症状的睾丸鞘膜积液，包括睾丸在内不大于健侧睾丸1倍(条件兵除外);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(三)交通性鞘膜积液，手术后1年以上无复发，无后遗症;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(四)无压痛、无自觉症状的精索、副睾小结节，数量在2个以下且长径均在0.5cm以下;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(五)包茎、包皮过长(条件兵除外);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(六)轻度急性包皮炎、阴囊炎。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第十五条 重度腋臭，不合格。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第十六条 头癣，泛发性体癣，疥疮，慢性泛发性湿疹，慢性荨麻疹，泛发性神经性皮炎，银屑病，面颈部长径超过1cm的血管痣、色素痣、胎痣和白癜风，其他传染性或难以治愈的皮肤病，不合格。多发性毛囊炎，皮肤对刺激物过敏或有接触性皮炎史，手足部位近3年连续发生冻疮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(一)单发局限性神经性皮炎，长径在3cm以下;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(二)股癣，手(足)癣，甲(指、趾)癣，躯干花斑癣;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(三)身体其他部位白癜风不超过2处，每处长径在3cm以下。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第十七条 淋病，梅毒，软下疳，性病性淋巴肉芽肿，非淋菌性尿道炎，尖锐湿疣，生殖器疱疹，以及其他性传播疾病，不合格。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3300" w:firstLineChars="10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  <w:t>第二章内科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第十八条 血压在下列范围，合格。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(一)收缩压≥90 mmHg，&lt;140 mmHg;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(二)舒张压≥60 mmHg，&lt;90 mmHg。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第十九条 心率在下列范围，合格。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(一)心率60~100次/分;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(二)心率50~59次/分或101~110次/分，经检查系生理性(条件兵除外)。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第二十条 高血压病，器质性心脏病，血管疾病，右位心脏，不合格。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(一)听诊发现心律不齐、心脏收缩期杂音的，经检查系生理性(条件兵除外);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(二)直立性低血压、周围血管舒缩障碍(仅陆勤人员)。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第二十一条 慢性支气管炎，支气管扩张，支气管哮喘，肺大泡，气胸及气胸史，以及其他呼吸系统慢性疾病，不合格。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第二十二条 严重慢性胃、肠疾病，肝脏、胆囊、脾脏、胰腺疾病，内脏下垂，腹部包块，不合格。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(一)仰卧位，平静呼吸，在右锁骨中线肋缘下触及肝脏不超过1.5cm，剑突下不超过3cm，质软，边薄，平滑，无触痛、叩击痛，肝上界在正常范围，左肋缘下未触及脾脏，无贫血，营养状况良好;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(二)既往因患疟疾、血吸虫病、黑热病引起的脾脏肿大，现无自觉症状，无贫血，营养状况良好。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第二十三条 泌尿、血液、内分泌系统疾病，代谢性疾病，免疫性疾病，不合格。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第二十四条 艾滋病，病毒性肝炎，结核，流行性出血热，细菌性和阿米巴性痢疾，黑热病，伤寒，副伤寒，布鲁氏菌病，钩端螺旋体病，血吸虫病，疟疾，丝虫病，以及其他传染病，不合格。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(一)急性病毒性肝炎治愈后2年以上未再复发，无症状和体征，实验室检查正常;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(二)原发性肺结核、继发性肺结核、结核性胸膜炎、肾结核、腹膜结核，临床治愈后3年无复发(条件兵除外);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(三)细菌性痢疾治愈1年以上;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(四)疟疾、黑热病、血吸虫病、阿米巴性痢疾、钩端螺旋体病、流行性出血热、伤寒、副伤寒、布鲁氏菌病，治愈2年以上，无后遗症;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(五)丝虫病治愈半年以上，无后遗症。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第二十五条 癫痫，以及其他神经系统疾病及后遗症，不合格。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第二十六条 精神分裂症，转换性障碍，分离性障碍，抑郁症，躁狂症，精神活性物质滥用和依赖，人格障碍，应激障碍， 睡眠障碍，进食障碍，精神发育迟滞，遗尿症，以及其他精神类疾病，不合格。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第二十七条 影响正常表达的口吃，不合格。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2970" w:firstLineChars="9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  <w:t>第三章耳鼻咽喉科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第二十八条 听力测定双侧耳语均低于5m，不合格。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一侧耳语5m、另一侧不低于3m，陆勤人员合格。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第二十九条 眩晕病，不合格。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第三十条 耳廓明显畸形，外耳道闭锁，反复发炎的耳前瘘管，耳廓及外耳道湿疹，耳霉菌病，不合格。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轻度耳廓及外耳道湿疹，轻度耳霉菌病，陆勤人员合格。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第三十一条 鼓膜穿孔，化脓性中耳炎，乳突炎，以及其他难以治愈的耳病，不合格。鼓膜中度以上内陷，鼓膜瘢痕或钙化斑超过鼓膜的1/3，咽鼓管通气功能、耳气压功能及鼓膜活动不良，咽鼓管咽口或周围淋巴样组织增生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鼓膜内陷、粘连、萎缩、瘢痕、钙化斑，条件兵合格。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第三十二条 嗅觉丧失，不合格。嗅觉迟钝，条件兵不合格。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第三十三条 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不影响副鼻窦引流的中鼻甲肥大，中鼻道有少量粘液脓性分泌物，轻度萎缩性鼻炎，陆勤人员合格。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第三十四条 超过Ⅱ度肿大的慢性扁桃体炎，影响吞咽、发音功能难以治愈的咽、喉疾病，严重阻塞性睡眠呼吸暂停综合征，不合格。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3300" w:firstLineChars="10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  <w:t>第四章眼科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第三十五条 右眼裸眼视力低于4.6，左眼裸眼视力低于4.5，不合格。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任何一眼裸眼视力低于4.8，需进行矫正视力检查，任何一眼矫正视力低于4.8或矫正度数超过600度，不合格。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屈光不正经准分子激光手术后半年以上，无并发症，任何一眼裸眼视力达到4.8，眼底检查正常，除条件兵外合格。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第三十六条 色弱，色盲，不合格。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能够识别红、绿、黄、蓝、紫各单色者，陆勤人员合格。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第三十七条 影响眼功能的眼睑、睑缘、结膜、泪器疾病，不合格。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伸入角膜不超过2mm的假性翼状胬肉，陆勤人员合格。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第三十八条 眼球突出，眼球震颤，眼肌疾病，不合格。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15度以内的共同性内、外斜视，陆勤人员合格。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第三十九条 角膜、巩膜、虹膜睫状体疾病，瞳孔变形、运动障碍，不合格。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不影响视力的角膜云翳，合格。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第四十条 晶状体、玻璃体、视网膜、脉络膜、视神经疾病，以及青光眼，不合格。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先天性少数散在的晶状体小混浊点，合格。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2970" w:firstLineChars="9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  <w:t>第五章口腔科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第四十一条 深度龋齿超过3个，缺齿超过2个(经正畸治疗拔除、牙列整齐的除外)，全口义齿及复杂的可摘局部义齿，重度牙周炎，影响咀嚼及发音功能的口腔疾病，颞颌关节疾病，唇、腭裂及唇裂术后明显瘢痕，不合格。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经治疗、修复后功能良好的龋齿、缺齿，合格。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第四十二条 中度以上氟斑牙及牙釉质发育不全，切牙、尖牙、双尖牙明显缺损或缺失，超牙合超过0.5cm，开牙合超过0.3cm，上下颌牙咬合到对侧牙龈的深覆牙合，反牙合，牙列不齐，重度牙龈炎，中度牙周炎，条件兵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(一)上下颌左右尖牙、双尖牙咬合相距0.3cm以内;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(二)切牙缺失1个，经固定义齿修复后功能良好，或牙列无间隙，替代牙功能良好;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(三)不影响咬合的个别切牙牙列不齐或重叠;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(四)不影响咬合的个别切牙轻度反牙合，无其他体征;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(五)错牙合畸形经正畸治疗后功能良好。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第四十三条 慢性腮腺炎，腮腺囊肿，口腔肿瘤，不合格。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2970" w:firstLineChars="900"/>
        <w:jc w:val="both"/>
        <w:textAlignment w:val="baseline"/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</w:pPr>
      <w:r>
        <w:rPr>
          <w:rStyle w:val="4"/>
          <w:rFonts w:ascii="Times New Roman" w:hAnsi="Times New Roman" w:eastAsia="微软雅黑"/>
          <w:i w:val="0"/>
          <w:caps w:val="0"/>
          <w:color w:val="000000"/>
          <w:kern w:val="0"/>
          <w:sz w:val="33"/>
          <w:szCs w:val="33"/>
          <w:highlight w:val="none"/>
          <w:lang w:val="en-US" w:eastAsia="zh-CN" w:bidi="ar-SA"/>
        </w:rPr>
        <w:t>第六章辅助检查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第四十九条 血细胞分析结果在下列范围，合格。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(一)血红蛋白:男性130~175g/L;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(二)红细胞计数:男性4.3~5.8×1012/L;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(三)白细胞计数:3.5~9.5×109/L;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(四)中性粒细胞百分数:40%~75%;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(五)淋巴细胞百分数:20%~50%;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(六)血小板计数:125~350×109/L。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血常规检查结果要结合临床及地区差异作出正确结论。血红蛋白、红细胞数、白细胞总数、白细胞分类、血小板计数稍高或稍低，根据所在地区人体正常值范围，在排除器质性病变的前提下，不作单项淘汰。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第五十条 血生化分析结果在下列范围，合格。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(一)血清丙氨酸氨基转移酶:男性9~50 U/L;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血清丙氨酸氨基转移酶，男性&gt;50 U/L、≤60 U/L，应当结合临床物理检查，在排除疾病的情况下，视为合格，但须从严掌握;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(二)血清肌酐: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酶法:男性59~104μmol/L;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苦味酸速率法:男性62~115μmol/L;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苦味酸去蛋白终点法:男性44~133μmol/L;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(三)血清尿素:2.9~8.2 mmol/L。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第五十一条 乙型肝炎表面抗原检测阳性，艾滋病病毒(HIV1+2)抗体检测阳性，不合格。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第五十二条 尿常规检查结果在下列范围，合格。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(一)尿蛋白:阴性至微量;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(二)尿酮体:阴性;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(三)尿糖:阴性;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(四)胆红素:阴性;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(五)尿胆原:0.1~1.0 Eμ/dl(弱阳性)。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第五十三条 尿液离心沉淀标本镜检结果在下列范围，合格。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(一)红细胞:男性0~偶见/高倍镜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(二)白细胞:男性0~3/高倍镜，不超过6个/高倍镜应结合外生殖器检查排除疾病;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(三)管型:无或偶见透明管型，无其他管型。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第五十四条 尿液毒品检测阳性，不合格。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第五十五条 尿液妊娠试验阴性，合格。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尿液妊娠试验阳性、但血清妊娠试验阴性，合格。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第五十六条 大便常规检查结果在下列范围，合格。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(一)外观:黄软;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(二)镜检:红、白细胞各0~2/高倍镜，无钩虫、鞭虫、绦虫、血吸虫、肝吸虫、姜片虫卵及肠道原虫。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大便常规检查，在地方性寄生虫病和血吸虫病流行地区为必检项目，其他地区根据需要进行检查。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第五十七条 胸部X射线检查结果在下列范围内，合格。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(一)胸部X射线检查未见异常;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(二)孤立散在的钙化点(直径不超过0.5cm)，双肺野不超过3个，密度高，边缘清晰，周围无浸润现象(条件兵除外);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(三)肺纹理轻度增强(无呼吸道病史，无自觉症状);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(四)一侧肋膈角轻度变钝(无心、肺、胸疾病史，无自觉症状)。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第五十八条 心电图检查结果在下列范围内，合格。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(一)正常心电图;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(二)大致正常心电图。大致正常心电图范围按有关规定执行。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第五十九条 腹部超声检查发现恶性征象、病理性脾肿大、胰腺病变、肝肾弥漫性实质损害、肾盂积水、结石、内脏反位、单肾以及其他病变和异常的，不合格。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下列情况合格(第四至十款，条件兵除外):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(一)肝、胆、胰、脾、双肾未见明显异常;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(二)轻、中度脂肪肝且肝功能正常;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(三)胆囊息肉样病变，数量3个以下且长径均在0.5cm以下;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(四)肝肾囊肿和血管瘤单脏器数量3个以下且长径均在1cm以下;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(五)单发肝肾囊肿和血管瘤长径3cm以下;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(六)肝、脾内钙化灶数量3个以下且长径均在1cm以下;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(七)双肾实质钙化灶数量3个以下且长径1cm以下;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(八)双肾错构瘤数量2个以下且长径均在1cm以下;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  <w:rPr>
          <w:rStyle w:val="4"/>
          <w:rFonts w:ascii="Times New Roman" w:hAnsi="Times New Roman"/>
          <w:color w:val="333333"/>
          <w:kern w:val="0"/>
          <w:sz w:val="24"/>
          <w:szCs w:val="22"/>
          <w:highlight w:val="none"/>
          <w:lang w:val="en-US" w:eastAsia="zh-CN" w:bidi="ar-SA"/>
        </w:rPr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(九)肾盂宽不超过1.5cm，输尿管不增宽;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after="226" w:line="360" w:lineRule="atLeast"/>
        <w:ind w:left="0" w:right="0" w:firstLine="420"/>
        <w:jc w:val="both"/>
        <w:textAlignment w:val="baseline"/>
      </w:pPr>
      <w:r>
        <w:rPr>
          <w:rStyle w:val="4"/>
          <w:rFonts w:ascii="Times New Roman" w:hAnsi="Times New Roman"/>
          <w:i w:val="0"/>
          <w:caps w:val="0"/>
          <w:color w:val="333333"/>
          <w:kern w:val="0"/>
          <w:sz w:val="21"/>
          <w:szCs w:val="21"/>
          <w:highlight w:val="none"/>
          <w:lang w:val="en-US" w:eastAsia="zh-CN" w:bidi="ar-SA"/>
        </w:rPr>
        <w:t>(十)脾脏长径10cm以下，厚度4.5cm以下;脾脏长径超过10cm或厚径超过4.5cm，但脾面积测量(0.8×长径×厚径)38cm2以下，排除器质性病变。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85606"/>
    <w:rsid w:val="19885606"/>
    <w:rsid w:val="2F733BEC"/>
    <w:rsid w:val="517604D0"/>
    <w:rsid w:val="773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jc w:val="left"/>
      <w:textAlignment w:val="baseline"/>
    </w:pPr>
    <w:rPr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2021-11-10T05:44:00Z</dcterms:created>
  <dc:creator>d</dc:creator>
  <cp:lastModifiedBy>相当酷</cp:lastModifiedBy>
  <dcterms:modified xsi:type="dcterms:W3CDTF">2022-04-05T09:02:15Z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FF61226809CF464BAD6673DEDFB305DF</vt:lpwstr>
  </property>
</Properties>
</file>