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宋体" w:cs="宋体"/>
          <w:b/>
          <w:w w:val="85"/>
          <w:kern w:val="0"/>
          <w:sz w:val="44"/>
          <w:szCs w:val="44"/>
        </w:rPr>
      </w:pPr>
      <w:bookmarkStart w:id="0" w:name="_Toc6286_WPSOffice_Level1"/>
      <w:r>
        <w:rPr>
          <w:rFonts w:hint="eastAsia" w:ascii="宋体" w:hAnsi="宋体" w:cs="宋体"/>
          <w:b/>
          <w:w w:val="85"/>
          <w:kern w:val="0"/>
          <w:sz w:val="44"/>
          <w:szCs w:val="44"/>
        </w:rPr>
        <w:t>厦门市海沧区所属卫生事业单位公开招聘</w:t>
      </w:r>
    </w:p>
    <w:p>
      <w:pPr>
        <w:adjustRightInd w:val="0"/>
        <w:snapToGrid w:val="0"/>
        <w:spacing w:line="560" w:lineRule="exact"/>
        <w:jc w:val="center"/>
        <w:rPr>
          <w:rFonts w:ascii="宋体" w:cs="宋体"/>
          <w:b/>
          <w:w w:val="85"/>
          <w:kern w:val="0"/>
          <w:sz w:val="44"/>
          <w:szCs w:val="44"/>
        </w:rPr>
      </w:pPr>
      <w:r>
        <w:rPr>
          <w:rFonts w:hint="eastAsia" w:ascii="宋体" w:hAnsi="宋体" w:cs="宋体"/>
          <w:b/>
          <w:w w:val="85"/>
          <w:kern w:val="0"/>
          <w:sz w:val="44"/>
          <w:szCs w:val="44"/>
        </w:rPr>
        <w:t>编内工作人员报考须知（</w:t>
      </w:r>
      <w:r>
        <w:rPr>
          <w:rFonts w:ascii="宋体" w:hAnsi="宋体" w:cs="宋体"/>
          <w:b/>
          <w:w w:val="85"/>
          <w:kern w:val="0"/>
          <w:sz w:val="44"/>
          <w:szCs w:val="44"/>
        </w:rPr>
        <w:t>2022</w:t>
      </w:r>
      <w:r>
        <w:rPr>
          <w:rFonts w:hint="eastAsia" w:ascii="宋体" w:hAnsi="宋体" w:cs="宋体"/>
          <w:b/>
          <w:w w:val="85"/>
          <w:kern w:val="0"/>
          <w:sz w:val="44"/>
          <w:szCs w:val="44"/>
        </w:rPr>
        <w:t>年</w:t>
      </w:r>
      <w:r>
        <w:rPr>
          <w:rFonts w:ascii="宋体" w:hAnsi="宋体" w:cs="宋体"/>
          <w:b/>
          <w:w w:val="85"/>
          <w:kern w:val="0"/>
          <w:sz w:val="44"/>
          <w:szCs w:val="44"/>
        </w:rPr>
        <w:t>4</w:t>
      </w:r>
      <w:r>
        <w:rPr>
          <w:rFonts w:hint="eastAsia" w:ascii="宋体" w:hAnsi="宋体" w:cs="宋体"/>
          <w:b/>
          <w:w w:val="85"/>
          <w:kern w:val="0"/>
          <w:sz w:val="44"/>
          <w:szCs w:val="44"/>
        </w:rPr>
        <w:t>月）</w:t>
      </w:r>
      <w:bookmarkEnd w:id="0"/>
    </w:p>
    <w:p>
      <w:pPr>
        <w:adjustRightInd w:val="0"/>
        <w:snapToGrid w:val="0"/>
        <w:spacing w:beforeLines="100" w:line="560" w:lineRule="exact"/>
        <w:jc w:val="center"/>
        <w:rPr>
          <w:rFonts w:ascii="宋体" w:cs="宋体"/>
          <w:b/>
          <w:w w:val="85"/>
          <w:kern w:val="0"/>
          <w:sz w:val="44"/>
          <w:szCs w:val="44"/>
        </w:rPr>
      </w:pPr>
      <w:r>
        <w:rPr>
          <w:rFonts w:hint="eastAsia" w:ascii="宋体" w:hAnsi="宋体" w:cs="宋体"/>
          <w:b/>
          <w:w w:val="85"/>
          <w:kern w:val="0"/>
          <w:sz w:val="44"/>
          <w:szCs w:val="44"/>
        </w:rPr>
        <w:t>目</w:t>
      </w:r>
      <w:r>
        <w:rPr>
          <w:rFonts w:ascii="宋体" w:hAnsi="宋体" w:cs="宋体"/>
          <w:b/>
          <w:w w:val="85"/>
          <w:kern w:val="0"/>
          <w:sz w:val="44"/>
          <w:szCs w:val="44"/>
        </w:rPr>
        <w:t xml:space="preserve">  </w:t>
      </w:r>
      <w:r>
        <w:rPr>
          <w:rFonts w:hint="eastAsia" w:ascii="宋体" w:hAnsi="宋体" w:cs="宋体"/>
          <w:b/>
          <w:w w:val="85"/>
          <w:kern w:val="0"/>
          <w:sz w:val="44"/>
          <w:szCs w:val="44"/>
        </w:rPr>
        <w:t>录</w:t>
      </w:r>
    </w:p>
    <w:p>
      <w:pPr>
        <w:adjustRightInd w:val="0"/>
        <w:snapToGrid w:val="0"/>
        <w:spacing w:line="560" w:lineRule="exact"/>
        <w:jc w:val="center"/>
        <w:rPr>
          <w:sz w:val="18"/>
          <w:szCs w:val="18"/>
        </w:rPr>
      </w:pPr>
    </w:p>
    <w:p>
      <w:pPr>
        <w:pStyle w:val="8"/>
        <w:tabs>
          <w:tab w:val="right" w:leader="dot" w:pos="8844"/>
        </w:tabs>
      </w:pPr>
      <w:r>
        <w:rPr>
          <w:rStyle w:val="13"/>
          <w:rFonts w:ascii="黑体" w:hAnsi="黑体" w:eastAsia="黑体" w:cs="黑体"/>
          <w:sz w:val="24"/>
          <w:szCs w:val="24"/>
        </w:rPr>
        <w:fldChar w:fldCharType="begin"/>
      </w:r>
      <w:r>
        <w:rPr>
          <w:rStyle w:val="13"/>
          <w:rFonts w:ascii="黑体" w:hAnsi="黑体" w:eastAsia="黑体" w:cs="黑体"/>
          <w:sz w:val="24"/>
          <w:szCs w:val="24"/>
        </w:rPr>
        <w:instrText xml:space="preserve">TOC \o "1-3" \h \u </w:instrText>
      </w:r>
      <w:r>
        <w:rPr>
          <w:rStyle w:val="13"/>
          <w:rFonts w:ascii="黑体" w:hAnsi="黑体" w:eastAsia="黑体" w:cs="黑体"/>
          <w:sz w:val="24"/>
          <w:szCs w:val="24"/>
        </w:rPr>
        <w:fldChar w:fldCharType="separate"/>
      </w:r>
      <w:r>
        <w:rPr>
          <w:rFonts w:ascii="黑体" w:hAnsi="黑体" w:eastAsia="黑体" w:cs="黑体"/>
          <w:szCs w:val="24"/>
        </w:rPr>
        <w:fldChar w:fldCharType="begin"/>
      </w:r>
      <w:r>
        <w:rPr>
          <w:rFonts w:ascii="黑体" w:hAnsi="黑体" w:eastAsia="黑体" w:cs="黑体"/>
          <w:szCs w:val="24"/>
        </w:rPr>
        <w:instrText xml:space="preserve"> HYPERLINK \l _Toc24396 </w:instrText>
      </w:r>
      <w:r>
        <w:rPr>
          <w:rFonts w:ascii="黑体" w:hAnsi="黑体" w:eastAsia="黑体" w:cs="黑体"/>
          <w:szCs w:val="24"/>
        </w:rPr>
        <w:fldChar w:fldCharType="separate"/>
      </w:r>
      <w:r>
        <w:rPr>
          <w:rFonts w:hint="eastAsia" w:ascii="黑体" w:hAnsi="黑体" w:eastAsia="黑体" w:cs="黑体"/>
          <w:bCs/>
          <w:szCs w:val="32"/>
        </w:rPr>
        <w:t>一、基本条件</w:t>
      </w:r>
      <w:r>
        <w:tab/>
      </w:r>
      <w:r>
        <w:fldChar w:fldCharType="begin"/>
      </w:r>
      <w:r>
        <w:instrText xml:space="preserve"> PAGEREF _Toc24396 \h </w:instrText>
      </w:r>
      <w:r>
        <w:fldChar w:fldCharType="separate"/>
      </w:r>
      <w:r>
        <w:t>1</w:t>
      </w:r>
      <w:r>
        <w:fldChar w:fldCharType="end"/>
      </w:r>
      <w:r>
        <w:rPr>
          <w:rFonts w:ascii="黑体" w:hAnsi="黑体" w:eastAsia="黑体" w:cs="黑体"/>
          <w:szCs w:val="24"/>
        </w:rPr>
        <w:fldChar w:fldCharType="end"/>
      </w:r>
    </w:p>
    <w:p>
      <w:pPr>
        <w:pStyle w:val="8"/>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_Toc11656 </w:instrText>
      </w:r>
      <w:r>
        <w:rPr>
          <w:rFonts w:ascii="黑体" w:hAnsi="黑体" w:eastAsia="黑体" w:cs="黑体"/>
          <w:szCs w:val="24"/>
        </w:rPr>
        <w:fldChar w:fldCharType="separate"/>
      </w:r>
      <w:r>
        <w:rPr>
          <w:rFonts w:hint="eastAsia" w:ascii="黑体" w:hAnsi="黑体" w:eastAsia="黑体" w:cs="黑体"/>
          <w:bCs/>
          <w:szCs w:val="32"/>
        </w:rPr>
        <w:t>二、不得报考或取消报考（聘用）资格的情形</w:t>
      </w:r>
      <w:r>
        <w:tab/>
      </w:r>
      <w:r>
        <w:fldChar w:fldCharType="begin"/>
      </w:r>
      <w:r>
        <w:instrText xml:space="preserve"> PAGEREF _Toc11656 \h </w:instrText>
      </w:r>
      <w:r>
        <w:fldChar w:fldCharType="separate"/>
      </w:r>
      <w:r>
        <w:t>1</w:t>
      </w:r>
      <w:r>
        <w:fldChar w:fldCharType="end"/>
      </w:r>
      <w:r>
        <w:rPr>
          <w:rFonts w:ascii="黑体" w:hAnsi="黑体" w:eastAsia="黑体" w:cs="黑体"/>
          <w:szCs w:val="24"/>
        </w:rPr>
        <w:fldChar w:fldCharType="end"/>
      </w:r>
    </w:p>
    <w:p>
      <w:pPr>
        <w:pStyle w:val="8"/>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_Toc32208 </w:instrText>
      </w:r>
      <w:r>
        <w:rPr>
          <w:rFonts w:ascii="黑体" w:hAnsi="黑体" w:eastAsia="黑体" w:cs="黑体"/>
          <w:szCs w:val="24"/>
        </w:rPr>
        <w:fldChar w:fldCharType="separate"/>
      </w:r>
      <w:r>
        <w:rPr>
          <w:rFonts w:hint="eastAsia" w:ascii="黑体" w:hAnsi="黑体" w:eastAsia="黑体" w:cs="黑体"/>
          <w:bCs/>
          <w:szCs w:val="32"/>
        </w:rPr>
        <w:t>三、选报岗位</w:t>
      </w:r>
      <w:r>
        <w:tab/>
      </w:r>
      <w:r>
        <w:fldChar w:fldCharType="begin"/>
      </w:r>
      <w:r>
        <w:instrText xml:space="preserve"> PAGEREF _Toc32208 \h </w:instrText>
      </w:r>
      <w:r>
        <w:fldChar w:fldCharType="separate"/>
      </w:r>
      <w:r>
        <w:t>2</w:t>
      </w:r>
      <w:r>
        <w:fldChar w:fldCharType="end"/>
      </w:r>
      <w:r>
        <w:rPr>
          <w:rFonts w:ascii="黑体" w:hAnsi="黑体" w:eastAsia="黑体" w:cs="黑体"/>
          <w:szCs w:val="24"/>
        </w:rPr>
        <w:fldChar w:fldCharType="end"/>
      </w:r>
    </w:p>
    <w:p>
      <w:pPr>
        <w:pStyle w:val="9"/>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_Toc8112 </w:instrText>
      </w:r>
      <w:r>
        <w:rPr>
          <w:rFonts w:ascii="黑体" w:hAnsi="黑体" w:eastAsia="黑体" w:cs="黑体"/>
          <w:szCs w:val="24"/>
        </w:rPr>
        <w:fldChar w:fldCharType="separate"/>
      </w:r>
      <w:r>
        <w:rPr>
          <w:rFonts w:hint="eastAsia" w:ascii="楷体" w:hAnsi="楷体" w:eastAsia="楷体" w:cs="楷体_GB2312"/>
          <w:bCs/>
          <w:szCs w:val="32"/>
        </w:rPr>
        <w:t>（一）报考资格条件确认</w:t>
      </w:r>
      <w:r>
        <w:tab/>
      </w:r>
      <w:r>
        <w:fldChar w:fldCharType="begin"/>
      </w:r>
      <w:r>
        <w:instrText xml:space="preserve"> PAGEREF _Toc8112 \h </w:instrText>
      </w:r>
      <w:r>
        <w:fldChar w:fldCharType="separate"/>
      </w:r>
      <w:r>
        <w:t>2</w:t>
      </w:r>
      <w:r>
        <w:fldChar w:fldCharType="end"/>
      </w:r>
      <w:r>
        <w:rPr>
          <w:rFonts w:ascii="黑体" w:hAnsi="黑体" w:eastAsia="黑体" w:cs="黑体"/>
          <w:szCs w:val="24"/>
        </w:rPr>
        <w:fldChar w:fldCharType="end"/>
      </w:r>
    </w:p>
    <w:p>
      <w:pPr>
        <w:pStyle w:val="9"/>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_Toc30421 </w:instrText>
      </w:r>
      <w:r>
        <w:rPr>
          <w:rFonts w:ascii="黑体" w:hAnsi="黑体" w:eastAsia="黑体" w:cs="黑体"/>
          <w:szCs w:val="24"/>
        </w:rPr>
        <w:fldChar w:fldCharType="separate"/>
      </w:r>
      <w:r>
        <w:rPr>
          <w:rFonts w:hint="eastAsia" w:ascii="楷体" w:hAnsi="楷体" w:eastAsia="楷体" w:cs="楷体_GB2312"/>
          <w:bCs/>
          <w:szCs w:val="32"/>
        </w:rPr>
        <w:t>（二）</w:t>
      </w:r>
      <w:r>
        <w:rPr>
          <w:rFonts w:hint="eastAsia" w:ascii="楷体" w:hAnsi="楷体" w:eastAsia="楷体" w:cs="楷体_GB2312"/>
          <w:szCs w:val="32"/>
        </w:rPr>
        <w:t>照片要求</w:t>
      </w:r>
      <w:r>
        <w:tab/>
      </w:r>
      <w:r>
        <w:fldChar w:fldCharType="begin"/>
      </w:r>
      <w:r>
        <w:instrText xml:space="preserve"> PAGEREF _Toc30421 \h </w:instrText>
      </w:r>
      <w:r>
        <w:fldChar w:fldCharType="separate"/>
      </w:r>
      <w:r>
        <w:t>3</w:t>
      </w:r>
      <w:r>
        <w:fldChar w:fldCharType="end"/>
      </w:r>
      <w:r>
        <w:rPr>
          <w:rFonts w:ascii="黑体" w:hAnsi="黑体" w:eastAsia="黑体" w:cs="黑体"/>
          <w:szCs w:val="24"/>
        </w:rPr>
        <w:fldChar w:fldCharType="end"/>
      </w:r>
    </w:p>
    <w:p>
      <w:pPr>
        <w:pStyle w:val="9"/>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_Toc7235 </w:instrText>
      </w:r>
      <w:r>
        <w:rPr>
          <w:rFonts w:ascii="黑体" w:hAnsi="黑体" w:eastAsia="黑体" w:cs="黑体"/>
          <w:szCs w:val="24"/>
        </w:rPr>
        <w:fldChar w:fldCharType="separate"/>
      </w:r>
      <w:r>
        <w:rPr>
          <w:rFonts w:hint="eastAsia" w:ascii="楷体" w:hAnsi="楷体" w:eastAsia="楷体" w:cs="楷体_GB2312"/>
          <w:bCs/>
          <w:szCs w:val="32"/>
        </w:rPr>
        <w:t>（三）回避情形</w:t>
      </w:r>
      <w:r>
        <w:tab/>
      </w:r>
      <w:r>
        <w:fldChar w:fldCharType="begin"/>
      </w:r>
      <w:r>
        <w:instrText xml:space="preserve"> PAGEREF _Toc7235 \h </w:instrText>
      </w:r>
      <w:r>
        <w:fldChar w:fldCharType="separate"/>
      </w:r>
      <w:r>
        <w:t>3</w:t>
      </w:r>
      <w:r>
        <w:fldChar w:fldCharType="end"/>
      </w:r>
      <w:r>
        <w:rPr>
          <w:rFonts w:ascii="黑体" w:hAnsi="黑体" w:eastAsia="黑体" w:cs="黑体"/>
          <w:szCs w:val="24"/>
        </w:rPr>
        <w:fldChar w:fldCharType="end"/>
      </w:r>
    </w:p>
    <w:p>
      <w:pPr>
        <w:pStyle w:val="8"/>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_Toc18389 </w:instrText>
      </w:r>
      <w:r>
        <w:rPr>
          <w:rFonts w:ascii="黑体" w:hAnsi="黑体" w:eastAsia="黑体" w:cs="黑体"/>
          <w:szCs w:val="24"/>
        </w:rPr>
        <w:fldChar w:fldCharType="separate"/>
      </w:r>
      <w:r>
        <w:rPr>
          <w:rFonts w:hint="eastAsia" w:ascii="黑体" w:hAnsi="黑体" w:eastAsia="黑体" w:cs="黑体"/>
          <w:bCs/>
          <w:szCs w:val="32"/>
        </w:rPr>
        <w:t>四、年龄、资格（历）等的计算办法</w:t>
      </w:r>
      <w:r>
        <w:tab/>
      </w:r>
      <w:r>
        <w:fldChar w:fldCharType="begin"/>
      </w:r>
      <w:r>
        <w:instrText xml:space="preserve"> PAGEREF _Toc18389 \h </w:instrText>
      </w:r>
      <w:r>
        <w:fldChar w:fldCharType="separate"/>
      </w:r>
      <w:r>
        <w:t>4</w:t>
      </w:r>
      <w:r>
        <w:fldChar w:fldCharType="end"/>
      </w:r>
      <w:r>
        <w:rPr>
          <w:rFonts w:ascii="黑体" w:hAnsi="黑体" w:eastAsia="黑体" w:cs="黑体"/>
          <w:szCs w:val="24"/>
        </w:rPr>
        <w:fldChar w:fldCharType="end"/>
      </w:r>
    </w:p>
    <w:p>
      <w:pPr>
        <w:pStyle w:val="9"/>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_Toc23613 </w:instrText>
      </w:r>
      <w:r>
        <w:rPr>
          <w:rFonts w:ascii="黑体" w:hAnsi="黑体" w:eastAsia="黑体" w:cs="黑体"/>
          <w:szCs w:val="24"/>
        </w:rPr>
        <w:fldChar w:fldCharType="separate"/>
      </w:r>
      <w:r>
        <w:rPr>
          <w:rFonts w:hint="eastAsia" w:ascii="楷体" w:hAnsi="楷体" w:eastAsia="楷体" w:cs="楷体_GB2312"/>
          <w:bCs/>
          <w:szCs w:val="32"/>
        </w:rPr>
        <w:t>（一）年龄</w:t>
      </w:r>
      <w:r>
        <w:tab/>
      </w:r>
      <w:r>
        <w:fldChar w:fldCharType="begin"/>
      </w:r>
      <w:r>
        <w:instrText xml:space="preserve"> PAGEREF _Toc23613 \h </w:instrText>
      </w:r>
      <w:r>
        <w:fldChar w:fldCharType="separate"/>
      </w:r>
      <w:r>
        <w:t>4</w:t>
      </w:r>
      <w:r>
        <w:fldChar w:fldCharType="end"/>
      </w:r>
      <w:r>
        <w:rPr>
          <w:rFonts w:ascii="黑体" w:hAnsi="黑体" w:eastAsia="黑体" w:cs="黑体"/>
          <w:szCs w:val="24"/>
        </w:rPr>
        <w:fldChar w:fldCharType="end"/>
      </w:r>
    </w:p>
    <w:p>
      <w:pPr>
        <w:pStyle w:val="9"/>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_Toc22936 </w:instrText>
      </w:r>
      <w:r>
        <w:rPr>
          <w:rFonts w:ascii="黑体" w:hAnsi="黑体" w:eastAsia="黑体" w:cs="黑体"/>
          <w:szCs w:val="24"/>
        </w:rPr>
        <w:fldChar w:fldCharType="separate"/>
      </w:r>
      <w:r>
        <w:rPr>
          <w:rFonts w:hint="eastAsia" w:ascii="楷体" w:hAnsi="楷体" w:eastAsia="楷体" w:cs="楷体_GB2312"/>
          <w:bCs/>
          <w:szCs w:val="32"/>
        </w:rPr>
        <w:t>（二）资格（历）等</w:t>
      </w:r>
      <w:r>
        <w:tab/>
      </w:r>
      <w:r>
        <w:fldChar w:fldCharType="begin"/>
      </w:r>
      <w:r>
        <w:instrText xml:space="preserve"> PAGEREF _Toc22936 \h </w:instrText>
      </w:r>
      <w:r>
        <w:fldChar w:fldCharType="separate"/>
      </w:r>
      <w:r>
        <w:t>4</w:t>
      </w:r>
      <w:r>
        <w:fldChar w:fldCharType="end"/>
      </w:r>
      <w:r>
        <w:rPr>
          <w:rFonts w:ascii="黑体" w:hAnsi="黑体" w:eastAsia="黑体" w:cs="黑体"/>
          <w:szCs w:val="24"/>
        </w:rPr>
        <w:fldChar w:fldCharType="end"/>
      </w:r>
    </w:p>
    <w:p>
      <w:pPr>
        <w:pStyle w:val="8"/>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_Toc29186 </w:instrText>
      </w:r>
      <w:r>
        <w:rPr>
          <w:rFonts w:ascii="黑体" w:hAnsi="黑体" w:eastAsia="黑体" w:cs="黑体"/>
          <w:szCs w:val="24"/>
        </w:rPr>
        <w:fldChar w:fldCharType="separate"/>
      </w:r>
      <w:r>
        <w:rPr>
          <w:rFonts w:hint="eastAsia" w:ascii="黑体" w:hAnsi="黑体" w:eastAsia="黑体" w:cs="黑体"/>
          <w:bCs/>
          <w:szCs w:val="32"/>
        </w:rPr>
        <w:t>五、学历（位）认定</w:t>
      </w:r>
      <w:r>
        <w:tab/>
      </w:r>
      <w:r>
        <w:fldChar w:fldCharType="begin"/>
      </w:r>
      <w:r>
        <w:instrText xml:space="preserve"> PAGEREF _Toc29186 \h </w:instrText>
      </w:r>
      <w:r>
        <w:fldChar w:fldCharType="separate"/>
      </w:r>
      <w:r>
        <w:t>5</w:t>
      </w:r>
      <w:r>
        <w:fldChar w:fldCharType="end"/>
      </w:r>
      <w:r>
        <w:rPr>
          <w:rFonts w:ascii="黑体" w:hAnsi="黑体" w:eastAsia="黑体" w:cs="黑体"/>
          <w:szCs w:val="24"/>
        </w:rPr>
        <w:fldChar w:fldCharType="end"/>
      </w:r>
    </w:p>
    <w:p>
      <w:pPr>
        <w:pStyle w:val="9"/>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_Toc30407 </w:instrText>
      </w:r>
      <w:r>
        <w:rPr>
          <w:rFonts w:ascii="黑体" w:hAnsi="黑体" w:eastAsia="黑体" w:cs="黑体"/>
          <w:szCs w:val="24"/>
        </w:rPr>
        <w:fldChar w:fldCharType="separate"/>
      </w:r>
      <w:r>
        <w:rPr>
          <w:rFonts w:hint="eastAsia" w:ascii="楷体" w:hAnsi="楷体" w:eastAsia="楷体" w:cs="楷体_GB2312"/>
          <w:bCs/>
          <w:szCs w:val="32"/>
        </w:rPr>
        <w:t>（一）境内学历（位）</w:t>
      </w:r>
      <w:r>
        <w:tab/>
      </w:r>
      <w:r>
        <w:fldChar w:fldCharType="begin"/>
      </w:r>
      <w:r>
        <w:instrText xml:space="preserve"> PAGEREF _Toc30407 \h </w:instrText>
      </w:r>
      <w:r>
        <w:fldChar w:fldCharType="separate"/>
      </w:r>
      <w:r>
        <w:t>5</w:t>
      </w:r>
      <w:r>
        <w:fldChar w:fldCharType="end"/>
      </w:r>
      <w:r>
        <w:rPr>
          <w:rFonts w:ascii="黑体" w:hAnsi="黑体" w:eastAsia="黑体" w:cs="黑体"/>
          <w:szCs w:val="24"/>
        </w:rPr>
        <w:fldChar w:fldCharType="end"/>
      </w:r>
    </w:p>
    <w:p>
      <w:pPr>
        <w:pStyle w:val="9"/>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_Toc16410 </w:instrText>
      </w:r>
      <w:r>
        <w:rPr>
          <w:rFonts w:ascii="黑体" w:hAnsi="黑体" w:eastAsia="黑体" w:cs="黑体"/>
          <w:szCs w:val="24"/>
        </w:rPr>
        <w:fldChar w:fldCharType="separate"/>
      </w:r>
      <w:r>
        <w:rPr>
          <w:rFonts w:hint="eastAsia" w:ascii="楷体" w:hAnsi="楷体" w:eastAsia="楷体" w:cs="楷体_GB2312"/>
          <w:bCs/>
          <w:szCs w:val="32"/>
        </w:rPr>
        <w:t>（二）国（境）外学历（位）</w:t>
      </w:r>
      <w:r>
        <w:tab/>
      </w:r>
      <w:r>
        <w:fldChar w:fldCharType="begin"/>
      </w:r>
      <w:r>
        <w:instrText xml:space="preserve"> PAGEREF _Toc16410 \h </w:instrText>
      </w:r>
      <w:r>
        <w:fldChar w:fldCharType="separate"/>
      </w:r>
      <w:r>
        <w:t>5</w:t>
      </w:r>
      <w:r>
        <w:fldChar w:fldCharType="end"/>
      </w:r>
      <w:r>
        <w:rPr>
          <w:rFonts w:ascii="黑体" w:hAnsi="黑体" w:eastAsia="黑体" w:cs="黑体"/>
          <w:szCs w:val="24"/>
        </w:rPr>
        <w:fldChar w:fldCharType="end"/>
      </w:r>
    </w:p>
    <w:p>
      <w:pPr>
        <w:pStyle w:val="9"/>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_Toc22572 </w:instrText>
      </w:r>
      <w:r>
        <w:rPr>
          <w:rFonts w:ascii="黑体" w:hAnsi="黑体" w:eastAsia="黑体" w:cs="黑体"/>
          <w:szCs w:val="24"/>
        </w:rPr>
        <w:fldChar w:fldCharType="separate"/>
      </w:r>
      <w:r>
        <w:rPr>
          <w:rFonts w:hint="eastAsia" w:ascii="楷体" w:hAnsi="楷体" w:eastAsia="楷体" w:cs="楷体_GB2312"/>
          <w:bCs/>
          <w:szCs w:val="32"/>
        </w:rPr>
        <w:t>（三）我省“双学位”“双专业”学历</w:t>
      </w:r>
      <w:r>
        <w:tab/>
      </w:r>
      <w:r>
        <w:fldChar w:fldCharType="begin"/>
      </w:r>
      <w:r>
        <w:instrText xml:space="preserve"> PAGEREF _Toc22572 \h </w:instrText>
      </w:r>
      <w:r>
        <w:fldChar w:fldCharType="separate"/>
      </w:r>
      <w:r>
        <w:t>5</w:t>
      </w:r>
      <w:r>
        <w:fldChar w:fldCharType="end"/>
      </w:r>
      <w:r>
        <w:rPr>
          <w:rFonts w:ascii="黑体" w:hAnsi="黑体" w:eastAsia="黑体" w:cs="黑体"/>
          <w:szCs w:val="24"/>
        </w:rPr>
        <w:fldChar w:fldCharType="end"/>
      </w:r>
    </w:p>
    <w:p>
      <w:pPr>
        <w:pStyle w:val="9"/>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_Toc775 </w:instrText>
      </w:r>
      <w:r>
        <w:rPr>
          <w:rFonts w:ascii="黑体" w:hAnsi="黑体" w:eastAsia="黑体" w:cs="黑体"/>
          <w:szCs w:val="24"/>
        </w:rPr>
        <w:fldChar w:fldCharType="separate"/>
      </w:r>
      <w:r>
        <w:rPr>
          <w:rFonts w:hint="eastAsia" w:ascii="楷体" w:hAnsi="楷体" w:eastAsia="楷体" w:cs="楷体_GB2312"/>
          <w:bCs/>
          <w:szCs w:val="32"/>
        </w:rPr>
        <w:t>（四）提醒事项</w:t>
      </w:r>
      <w:r>
        <w:tab/>
      </w:r>
      <w:r>
        <w:fldChar w:fldCharType="begin"/>
      </w:r>
      <w:r>
        <w:instrText xml:space="preserve"> PAGEREF _Toc775 \h </w:instrText>
      </w:r>
      <w:r>
        <w:fldChar w:fldCharType="separate"/>
      </w:r>
      <w:r>
        <w:t>5</w:t>
      </w:r>
      <w:r>
        <w:fldChar w:fldCharType="end"/>
      </w:r>
      <w:r>
        <w:rPr>
          <w:rFonts w:ascii="黑体" w:hAnsi="黑体" w:eastAsia="黑体" w:cs="黑体"/>
          <w:szCs w:val="24"/>
        </w:rPr>
        <w:fldChar w:fldCharType="end"/>
      </w:r>
    </w:p>
    <w:p>
      <w:pPr>
        <w:pStyle w:val="8"/>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_Toc31666 </w:instrText>
      </w:r>
      <w:r>
        <w:rPr>
          <w:rFonts w:ascii="黑体" w:hAnsi="黑体" w:eastAsia="黑体" w:cs="黑体"/>
          <w:szCs w:val="24"/>
        </w:rPr>
        <w:fldChar w:fldCharType="separate"/>
      </w:r>
      <w:r>
        <w:rPr>
          <w:rFonts w:hint="eastAsia" w:ascii="黑体" w:hAnsi="黑体" w:eastAsia="黑体" w:cs="黑体"/>
          <w:bCs/>
          <w:szCs w:val="32"/>
        </w:rPr>
        <w:t>六、专业</w:t>
      </w:r>
      <w:r>
        <w:tab/>
      </w:r>
      <w:r>
        <w:fldChar w:fldCharType="begin"/>
      </w:r>
      <w:r>
        <w:instrText xml:space="preserve"> PAGEREF _Toc31666 \h </w:instrText>
      </w:r>
      <w:r>
        <w:fldChar w:fldCharType="separate"/>
      </w:r>
      <w:r>
        <w:t>6</w:t>
      </w:r>
      <w:r>
        <w:fldChar w:fldCharType="end"/>
      </w:r>
      <w:r>
        <w:rPr>
          <w:rFonts w:ascii="黑体" w:hAnsi="黑体" w:eastAsia="黑体" w:cs="黑体"/>
          <w:szCs w:val="24"/>
        </w:rPr>
        <w:fldChar w:fldCharType="end"/>
      </w:r>
    </w:p>
    <w:p>
      <w:pPr>
        <w:pStyle w:val="9"/>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_Toc28336 </w:instrText>
      </w:r>
      <w:r>
        <w:rPr>
          <w:rFonts w:ascii="黑体" w:hAnsi="黑体" w:eastAsia="黑体" w:cs="黑体"/>
          <w:szCs w:val="24"/>
        </w:rPr>
        <w:fldChar w:fldCharType="separate"/>
      </w:r>
      <w:r>
        <w:rPr>
          <w:rFonts w:hint="eastAsia" w:ascii="楷体" w:hAnsi="楷体" w:eastAsia="楷体" w:cs="楷体_GB2312"/>
          <w:bCs/>
          <w:szCs w:val="32"/>
        </w:rPr>
        <w:t>（一）填报专业名称</w:t>
      </w:r>
      <w:r>
        <w:tab/>
      </w:r>
      <w:r>
        <w:fldChar w:fldCharType="begin"/>
      </w:r>
      <w:r>
        <w:instrText xml:space="preserve"> PAGEREF _Toc28336 \h </w:instrText>
      </w:r>
      <w:r>
        <w:fldChar w:fldCharType="separate"/>
      </w:r>
      <w:r>
        <w:t>6</w:t>
      </w:r>
      <w:r>
        <w:fldChar w:fldCharType="end"/>
      </w:r>
      <w:r>
        <w:rPr>
          <w:rFonts w:ascii="黑体" w:hAnsi="黑体" w:eastAsia="黑体" w:cs="黑体"/>
          <w:szCs w:val="24"/>
        </w:rPr>
        <w:fldChar w:fldCharType="end"/>
      </w:r>
    </w:p>
    <w:p>
      <w:pPr>
        <w:pStyle w:val="9"/>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_Toc25763 </w:instrText>
      </w:r>
      <w:r>
        <w:rPr>
          <w:rFonts w:ascii="黑体" w:hAnsi="黑体" w:eastAsia="黑体" w:cs="黑体"/>
          <w:szCs w:val="24"/>
        </w:rPr>
        <w:fldChar w:fldCharType="separate"/>
      </w:r>
      <w:r>
        <w:rPr>
          <w:rFonts w:hint="eastAsia" w:ascii="楷体" w:hAnsi="楷体" w:eastAsia="楷体" w:cs="楷体_GB2312"/>
          <w:bCs/>
          <w:szCs w:val="32"/>
        </w:rPr>
        <w:t>（二）专业与学历（位）的对应关系</w:t>
      </w:r>
      <w:r>
        <w:tab/>
      </w:r>
      <w:r>
        <w:fldChar w:fldCharType="begin"/>
      </w:r>
      <w:r>
        <w:instrText xml:space="preserve"> PAGEREF _Toc25763 \h </w:instrText>
      </w:r>
      <w:r>
        <w:fldChar w:fldCharType="separate"/>
      </w:r>
      <w:r>
        <w:t>6</w:t>
      </w:r>
      <w:r>
        <w:fldChar w:fldCharType="end"/>
      </w:r>
      <w:r>
        <w:rPr>
          <w:rFonts w:ascii="黑体" w:hAnsi="黑体" w:eastAsia="黑体" w:cs="黑体"/>
          <w:szCs w:val="24"/>
        </w:rPr>
        <w:fldChar w:fldCharType="end"/>
      </w:r>
    </w:p>
    <w:p>
      <w:pPr>
        <w:pStyle w:val="9"/>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_Toc9266 </w:instrText>
      </w:r>
      <w:r>
        <w:rPr>
          <w:rFonts w:ascii="黑体" w:hAnsi="黑体" w:eastAsia="黑体" w:cs="黑体"/>
          <w:szCs w:val="24"/>
        </w:rPr>
        <w:fldChar w:fldCharType="separate"/>
      </w:r>
      <w:r>
        <w:rPr>
          <w:rFonts w:hint="eastAsia" w:ascii="楷体" w:hAnsi="楷体" w:eastAsia="楷体" w:cs="楷体_GB2312"/>
          <w:szCs w:val="32"/>
        </w:rPr>
        <w:t>（三）专业资格的认定</w:t>
      </w:r>
      <w:r>
        <w:tab/>
      </w:r>
      <w:r>
        <w:fldChar w:fldCharType="begin"/>
      </w:r>
      <w:r>
        <w:instrText xml:space="preserve"> PAGEREF _Toc9266 \h </w:instrText>
      </w:r>
      <w:r>
        <w:fldChar w:fldCharType="separate"/>
      </w:r>
      <w:r>
        <w:t>7</w:t>
      </w:r>
      <w:r>
        <w:fldChar w:fldCharType="end"/>
      </w:r>
      <w:r>
        <w:rPr>
          <w:rFonts w:ascii="黑体" w:hAnsi="黑体" w:eastAsia="黑体" w:cs="黑体"/>
          <w:szCs w:val="24"/>
        </w:rPr>
        <w:fldChar w:fldCharType="end"/>
      </w:r>
    </w:p>
    <w:p>
      <w:pPr>
        <w:pStyle w:val="9"/>
        <w:tabs>
          <w:tab w:val="right" w:leader="dot" w:pos="8844"/>
        </w:tabs>
        <w:ind w:left="0" w:leftChars="0" w:firstLine="0" w:firstLineChars="0"/>
      </w:pPr>
      <w:r>
        <w:rPr>
          <w:rFonts w:ascii="黑体" w:hAnsi="黑体" w:eastAsia="黑体" w:cs="黑体"/>
          <w:szCs w:val="24"/>
        </w:rPr>
        <w:fldChar w:fldCharType="begin"/>
      </w:r>
      <w:r>
        <w:rPr>
          <w:rFonts w:ascii="黑体" w:hAnsi="黑体" w:eastAsia="黑体" w:cs="黑体"/>
          <w:szCs w:val="24"/>
        </w:rPr>
        <w:instrText xml:space="preserve"> HYPERLINK \l _Toc5825 </w:instrText>
      </w:r>
      <w:r>
        <w:rPr>
          <w:rFonts w:ascii="黑体" w:hAnsi="黑体" w:eastAsia="黑体" w:cs="黑体"/>
          <w:szCs w:val="24"/>
        </w:rPr>
        <w:fldChar w:fldCharType="separate"/>
      </w:r>
      <w:r>
        <w:rPr>
          <w:rFonts w:hint="eastAsia" w:ascii="黑体" w:hAnsi="黑体" w:eastAsia="黑体" w:cs="黑体"/>
          <w:bCs/>
          <w:szCs w:val="32"/>
        </w:rPr>
        <w:t>七、岗位开考比例</w:t>
      </w:r>
      <w:r>
        <w:tab/>
      </w:r>
      <w:r>
        <w:fldChar w:fldCharType="begin"/>
      </w:r>
      <w:r>
        <w:instrText xml:space="preserve"> PAGEREF _Toc5825 \h </w:instrText>
      </w:r>
      <w:r>
        <w:fldChar w:fldCharType="separate"/>
      </w:r>
      <w:r>
        <w:t>8</w:t>
      </w:r>
      <w:r>
        <w:fldChar w:fldCharType="end"/>
      </w:r>
      <w:r>
        <w:rPr>
          <w:rFonts w:ascii="黑体" w:hAnsi="黑体" w:eastAsia="黑体" w:cs="黑体"/>
          <w:szCs w:val="24"/>
        </w:rPr>
        <w:fldChar w:fldCharType="end"/>
      </w:r>
    </w:p>
    <w:p>
      <w:pPr>
        <w:pStyle w:val="8"/>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_Toc11022 </w:instrText>
      </w:r>
      <w:r>
        <w:rPr>
          <w:rFonts w:ascii="黑体" w:hAnsi="黑体" w:eastAsia="黑体" w:cs="黑体"/>
          <w:szCs w:val="24"/>
        </w:rPr>
        <w:fldChar w:fldCharType="separate"/>
      </w:r>
      <w:r>
        <w:rPr>
          <w:rFonts w:hint="eastAsia" w:ascii="黑体" w:hAnsi="黑体" w:eastAsia="黑体" w:cs="黑体"/>
          <w:bCs/>
          <w:szCs w:val="32"/>
        </w:rPr>
        <w:t>八、笔试加分</w:t>
      </w:r>
      <w:r>
        <w:tab/>
      </w:r>
      <w:r>
        <w:fldChar w:fldCharType="begin"/>
      </w:r>
      <w:r>
        <w:instrText xml:space="preserve"> PAGEREF _Toc11022 \h </w:instrText>
      </w:r>
      <w:r>
        <w:fldChar w:fldCharType="separate"/>
      </w:r>
      <w:r>
        <w:t>8</w:t>
      </w:r>
      <w:r>
        <w:fldChar w:fldCharType="end"/>
      </w:r>
      <w:r>
        <w:rPr>
          <w:rFonts w:ascii="黑体" w:hAnsi="黑体" w:eastAsia="黑体" w:cs="黑体"/>
          <w:szCs w:val="24"/>
        </w:rPr>
        <w:fldChar w:fldCharType="end"/>
      </w:r>
    </w:p>
    <w:p>
      <w:pPr>
        <w:pStyle w:val="9"/>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_Toc27429 </w:instrText>
      </w:r>
      <w:r>
        <w:rPr>
          <w:rFonts w:ascii="黑体" w:hAnsi="黑体" w:eastAsia="黑体" w:cs="黑体"/>
          <w:szCs w:val="24"/>
        </w:rPr>
        <w:fldChar w:fldCharType="separate"/>
      </w:r>
      <w:r>
        <w:rPr>
          <w:rFonts w:hint="eastAsia" w:ascii="楷体" w:hAnsi="楷体" w:eastAsia="楷体" w:cs="楷体_GB2312"/>
          <w:szCs w:val="32"/>
        </w:rPr>
        <w:t>（一）加分原则</w:t>
      </w:r>
      <w:r>
        <w:tab/>
      </w:r>
      <w:r>
        <w:fldChar w:fldCharType="begin"/>
      </w:r>
      <w:r>
        <w:instrText xml:space="preserve"> PAGEREF _Toc27429 \h </w:instrText>
      </w:r>
      <w:r>
        <w:fldChar w:fldCharType="separate"/>
      </w:r>
      <w:r>
        <w:t>8</w:t>
      </w:r>
      <w:r>
        <w:fldChar w:fldCharType="end"/>
      </w:r>
      <w:r>
        <w:rPr>
          <w:rFonts w:ascii="黑体" w:hAnsi="黑体" w:eastAsia="黑体" w:cs="黑体"/>
          <w:szCs w:val="24"/>
        </w:rPr>
        <w:fldChar w:fldCharType="end"/>
      </w:r>
    </w:p>
    <w:p>
      <w:pPr>
        <w:pStyle w:val="9"/>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_Toc12570 </w:instrText>
      </w:r>
      <w:r>
        <w:rPr>
          <w:rFonts w:ascii="黑体" w:hAnsi="黑体" w:eastAsia="黑体" w:cs="黑体"/>
          <w:szCs w:val="24"/>
        </w:rPr>
        <w:fldChar w:fldCharType="separate"/>
      </w:r>
      <w:r>
        <w:rPr>
          <w:rFonts w:hint="eastAsia" w:ascii="楷体" w:hAnsi="楷体" w:eastAsia="楷体" w:cs="楷体_GB2312"/>
          <w:szCs w:val="32"/>
        </w:rPr>
        <w:t>（二）加分对象</w:t>
      </w:r>
      <w:r>
        <w:tab/>
      </w:r>
      <w:r>
        <w:fldChar w:fldCharType="begin"/>
      </w:r>
      <w:r>
        <w:instrText xml:space="preserve"> PAGEREF _Toc12570 \h </w:instrText>
      </w:r>
      <w:r>
        <w:fldChar w:fldCharType="separate"/>
      </w:r>
      <w:r>
        <w:t>8</w:t>
      </w:r>
      <w:r>
        <w:fldChar w:fldCharType="end"/>
      </w:r>
      <w:r>
        <w:rPr>
          <w:rFonts w:ascii="黑体" w:hAnsi="黑体" w:eastAsia="黑体" w:cs="黑体"/>
          <w:szCs w:val="24"/>
        </w:rPr>
        <w:fldChar w:fldCharType="end"/>
      </w:r>
    </w:p>
    <w:p>
      <w:pPr>
        <w:pStyle w:val="4"/>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_Toc5380 </w:instrText>
      </w:r>
      <w:r>
        <w:rPr>
          <w:rFonts w:ascii="黑体" w:hAnsi="黑体" w:eastAsia="黑体" w:cs="黑体"/>
          <w:szCs w:val="24"/>
        </w:rPr>
        <w:fldChar w:fldCharType="separate"/>
      </w:r>
      <w:r>
        <w:rPr>
          <w:rFonts w:ascii="仿宋_GB2312" w:hAnsi="仿宋_GB2312" w:eastAsia="仿宋_GB2312" w:cs="仿宋_GB2312"/>
          <w:bCs/>
          <w:szCs w:val="32"/>
        </w:rPr>
        <w:t>1.</w:t>
      </w:r>
      <w:r>
        <w:rPr>
          <w:rFonts w:hint="eastAsia" w:ascii="仿宋_GB2312" w:hAnsi="仿宋_GB2312" w:eastAsia="仿宋_GB2312" w:cs="仿宋_GB2312"/>
          <w:bCs/>
          <w:szCs w:val="32"/>
        </w:rPr>
        <w:t>服务基层项目高校毕业人员</w:t>
      </w:r>
      <w:r>
        <w:tab/>
      </w:r>
      <w:r>
        <w:fldChar w:fldCharType="begin"/>
      </w:r>
      <w:r>
        <w:instrText xml:space="preserve"> PAGEREF _Toc5380 \h </w:instrText>
      </w:r>
      <w:r>
        <w:fldChar w:fldCharType="separate"/>
      </w:r>
      <w:r>
        <w:t>8</w:t>
      </w:r>
      <w:r>
        <w:fldChar w:fldCharType="end"/>
      </w:r>
      <w:r>
        <w:rPr>
          <w:rFonts w:ascii="黑体" w:hAnsi="黑体" w:eastAsia="黑体" w:cs="黑体"/>
          <w:szCs w:val="24"/>
        </w:rPr>
        <w:fldChar w:fldCharType="end"/>
      </w:r>
    </w:p>
    <w:p>
      <w:pPr>
        <w:pStyle w:val="4"/>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_Toc11927 </w:instrText>
      </w:r>
      <w:r>
        <w:rPr>
          <w:rFonts w:ascii="黑体" w:hAnsi="黑体" w:eastAsia="黑体" w:cs="黑体"/>
          <w:szCs w:val="24"/>
        </w:rPr>
        <w:fldChar w:fldCharType="separate"/>
      </w:r>
      <w:r>
        <w:rPr>
          <w:rFonts w:ascii="仿宋_GB2312" w:hAnsi="仿宋_GB2312" w:eastAsia="仿宋_GB2312" w:cs="仿宋_GB2312"/>
          <w:bCs/>
          <w:szCs w:val="32"/>
        </w:rPr>
        <w:t>2.</w:t>
      </w:r>
      <w:r>
        <w:rPr>
          <w:rFonts w:hint="eastAsia" w:ascii="仿宋_GB2312" w:hAnsi="仿宋_GB2312" w:eastAsia="仿宋_GB2312" w:cs="仿宋_GB2312"/>
          <w:bCs/>
          <w:szCs w:val="32"/>
        </w:rPr>
        <w:t>退役士兵（含大学生退役士兵）</w:t>
      </w:r>
      <w:r>
        <w:tab/>
      </w:r>
      <w:r>
        <w:fldChar w:fldCharType="begin"/>
      </w:r>
      <w:r>
        <w:instrText xml:space="preserve"> PAGEREF _Toc11927 \h </w:instrText>
      </w:r>
      <w:r>
        <w:fldChar w:fldCharType="separate"/>
      </w:r>
      <w:r>
        <w:t>9</w:t>
      </w:r>
      <w:r>
        <w:fldChar w:fldCharType="end"/>
      </w:r>
      <w:r>
        <w:rPr>
          <w:rFonts w:ascii="黑体" w:hAnsi="黑体" w:eastAsia="黑体" w:cs="黑体"/>
          <w:szCs w:val="24"/>
        </w:rPr>
        <w:fldChar w:fldCharType="end"/>
      </w:r>
    </w:p>
    <w:p>
      <w:pPr>
        <w:pStyle w:val="4"/>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_Toc7639 </w:instrText>
      </w:r>
      <w:r>
        <w:rPr>
          <w:rFonts w:ascii="黑体" w:hAnsi="黑体" w:eastAsia="黑体" w:cs="黑体"/>
          <w:szCs w:val="24"/>
        </w:rPr>
        <w:fldChar w:fldCharType="separate"/>
      </w:r>
      <w:r>
        <w:rPr>
          <w:rFonts w:ascii="仿宋_GB2312" w:hAnsi="仿宋_GB2312" w:eastAsia="仿宋_GB2312" w:cs="仿宋_GB2312"/>
          <w:bCs/>
          <w:szCs w:val="32"/>
        </w:rPr>
        <w:t>3.</w:t>
      </w:r>
      <w:r>
        <w:rPr>
          <w:rFonts w:hint="eastAsia" w:ascii="仿宋_GB2312" w:hAnsi="仿宋_GB2312" w:eastAsia="仿宋_GB2312" w:cs="仿宋_GB2312"/>
          <w:bCs/>
          <w:szCs w:val="32"/>
        </w:rPr>
        <w:t>退役优秀运动员</w:t>
      </w:r>
      <w:r>
        <w:tab/>
      </w:r>
      <w:r>
        <w:fldChar w:fldCharType="begin"/>
      </w:r>
      <w:r>
        <w:instrText xml:space="preserve"> PAGEREF _Toc7639 \h </w:instrText>
      </w:r>
      <w:r>
        <w:fldChar w:fldCharType="separate"/>
      </w:r>
      <w:r>
        <w:t>9</w:t>
      </w:r>
      <w:r>
        <w:fldChar w:fldCharType="end"/>
      </w:r>
      <w:r>
        <w:rPr>
          <w:rFonts w:ascii="黑体" w:hAnsi="黑体" w:eastAsia="黑体" w:cs="黑体"/>
          <w:szCs w:val="24"/>
        </w:rPr>
        <w:fldChar w:fldCharType="end"/>
      </w:r>
    </w:p>
    <w:p>
      <w:pPr>
        <w:pStyle w:val="9"/>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_Toc14428 </w:instrText>
      </w:r>
      <w:r>
        <w:rPr>
          <w:rFonts w:ascii="黑体" w:hAnsi="黑体" w:eastAsia="黑体" w:cs="黑体"/>
          <w:szCs w:val="24"/>
        </w:rPr>
        <w:fldChar w:fldCharType="separate"/>
      </w:r>
      <w:r>
        <w:rPr>
          <w:rFonts w:hint="eastAsia" w:ascii="楷体" w:hAnsi="楷体" w:eastAsia="楷体" w:cs="楷体"/>
          <w:bCs/>
          <w:szCs w:val="32"/>
        </w:rPr>
        <w:t>（三）加分证明材料</w:t>
      </w:r>
      <w:r>
        <w:tab/>
      </w:r>
      <w:r>
        <w:fldChar w:fldCharType="begin"/>
      </w:r>
      <w:r>
        <w:instrText xml:space="preserve"> PAGEREF _Toc14428 \h </w:instrText>
      </w:r>
      <w:r>
        <w:fldChar w:fldCharType="separate"/>
      </w:r>
      <w:r>
        <w:t>9</w:t>
      </w:r>
      <w:r>
        <w:fldChar w:fldCharType="end"/>
      </w:r>
      <w:r>
        <w:rPr>
          <w:rFonts w:ascii="黑体" w:hAnsi="黑体" w:eastAsia="黑体" w:cs="黑体"/>
          <w:szCs w:val="24"/>
        </w:rPr>
        <w:fldChar w:fldCharType="end"/>
      </w:r>
    </w:p>
    <w:p>
      <w:pPr>
        <w:pStyle w:val="8"/>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_Toc7024 </w:instrText>
      </w:r>
      <w:r>
        <w:rPr>
          <w:rFonts w:ascii="黑体" w:hAnsi="黑体" w:eastAsia="黑体" w:cs="黑体"/>
          <w:szCs w:val="24"/>
        </w:rPr>
        <w:fldChar w:fldCharType="separate"/>
      </w:r>
      <w:r>
        <w:rPr>
          <w:rFonts w:hint="eastAsia" w:ascii="黑体" w:hAnsi="黑体" w:eastAsia="黑体" w:cs="黑体"/>
          <w:bCs/>
          <w:szCs w:val="32"/>
        </w:rPr>
        <w:t>九、综合总分计算</w:t>
      </w:r>
      <w:r>
        <w:tab/>
      </w:r>
      <w:r>
        <w:fldChar w:fldCharType="begin"/>
      </w:r>
      <w:r>
        <w:instrText xml:space="preserve"> PAGEREF _Toc7024 \h </w:instrText>
      </w:r>
      <w:r>
        <w:fldChar w:fldCharType="separate"/>
      </w:r>
      <w:r>
        <w:t>10</w:t>
      </w:r>
      <w:r>
        <w:fldChar w:fldCharType="end"/>
      </w:r>
      <w:r>
        <w:rPr>
          <w:rFonts w:ascii="黑体" w:hAnsi="黑体" w:eastAsia="黑体" w:cs="黑体"/>
          <w:szCs w:val="24"/>
        </w:rPr>
        <w:fldChar w:fldCharType="end"/>
      </w:r>
    </w:p>
    <w:p>
      <w:pPr>
        <w:pStyle w:val="8"/>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_Toc22520 </w:instrText>
      </w:r>
      <w:r>
        <w:rPr>
          <w:rFonts w:ascii="黑体" w:hAnsi="黑体" w:eastAsia="黑体" w:cs="黑体"/>
          <w:szCs w:val="24"/>
        </w:rPr>
        <w:fldChar w:fldCharType="separate"/>
      </w:r>
      <w:r>
        <w:rPr>
          <w:rFonts w:hint="eastAsia" w:ascii="黑体" w:hAnsi="黑体" w:eastAsia="黑体" w:cs="黑体"/>
          <w:bCs/>
          <w:szCs w:val="32"/>
        </w:rPr>
        <w:t>十、体检和考察</w:t>
      </w:r>
      <w:r>
        <w:tab/>
      </w:r>
      <w:r>
        <w:fldChar w:fldCharType="begin"/>
      </w:r>
      <w:r>
        <w:instrText xml:space="preserve"> PAGEREF _Toc22520 \h </w:instrText>
      </w:r>
      <w:r>
        <w:fldChar w:fldCharType="separate"/>
      </w:r>
      <w:r>
        <w:t>11</w:t>
      </w:r>
      <w:r>
        <w:fldChar w:fldCharType="end"/>
      </w:r>
      <w:r>
        <w:rPr>
          <w:rFonts w:ascii="黑体" w:hAnsi="黑体" w:eastAsia="黑体" w:cs="黑体"/>
          <w:szCs w:val="24"/>
        </w:rPr>
        <w:fldChar w:fldCharType="end"/>
      </w:r>
    </w:p>
    <w:p>
      <w:pPr>
        <w:pStyle w:val="9"/>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_Toc14337 </w:instrText>
      </w:r>
      <w:r>
        <w:rPr>
          <w:rFonts w:ascii="黑体" w:hAnsi="黑体" w:eastAsia="黑体" w:cs="黑体"/>
          <w:szCs w:val="24"/>
        </w:rPr>
        <w:fldChar w:fldCharType="separate"/>
      </w:r>
      <w:r>
        <w:rPr>
          <w:rFonts w:hint="eastAsia" w:ascii="楷体" w:hAnsi="楷体" w:eastAsia="楷体" w:cs="楷体_GB2312"/>
          <w:szCs w:val="32"/>
        </w:rPr>
        <w:t>（一）确定体检人选</w:t>
      </w:r>
      <w:r>
        <w:tab/>
      </w:r>
      <w:r>
        <w:fldChar w:fldCharType="begin"/>
      </w:r>
      <w:r>
        <w:instrText xml:space="preserve"> PAGEREF _Toc14337 \h </w:instrText>
      </w:r>
      <w:r>
        <w:fldChar w:fldCharType="separate"/>
      </w:r>
      <w:r>
        <w:t>11</w:t>
      </w:r>
      <w:r>
        <w:fldChar w:fldCharType="end"/>
      </w:r>
      <w:r>
        <w:rPr>
          <w:rFonts w:ascii="黑体" w:hAnsi="黑体" w:eastAsia="黑体" w:cs="黑体"/>
          <w:szCs w:val="24"/>
        </w:rPr>
        <w:fldChar w:fldCharType="end"/>
      </w:r>
    </w:p>
    <w:p>
      <w:pPr>
        <w:pStyle w:val="9"/>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_Toc16947 </w:instrText>
      </w:r>
      <w:r>
        <w:rPr>
          <w:rFonts w:ascii="黑体" w:hAnsi="黑体" w:eastAsia="黑体" w:cs="黑体"/>
          <w:szCs w:val="24"/>
        </w:rPr>
        <w:fldChar w:fldCharType="separate"/>
      </w:r>
      <w:r>
        <w:rPr>
          <w:rFonts w:hint="eastAsia" w:ascii="楷体" w:hAnsi="楷体" w:eastAsia="楷体" w:cs="楷体_GB2312"/>
          <w:szCs w:val="32"/>
        </w:rPr>
        <w:t>（二）组织体检</w:t>
      </w:r>
      <w:r>
        <w:tab/>
      </w:r>
      <w:r>
        <w:fldChar w:fldCharType="begin"/>
      </w:r>
      <w:r>
        <w:instrText xml:space="preserve"> PAGEREF _Toc16947 \h </w:instrText>
      </w:r>
      <w:r>
        <w:fldChar w:fldCharType="separate"/>
      </w:r>
      <w:r>
        <w:t>11</w:t>
      </w:r>
      <w:r>
        <w:fldChar w:fldCharType="end"/>
      </w:r>
      <w:r>
        <w:rPr>
          <w:rFonts w:ascii="黑体" w:hAnsi="黑体" w:eastAsia="黑体" w:cs="黑体"/>
          <w:szCs w:val="24"/>
        </w:rPr>
        <w:fldChar w:fldCharType="end"/>
      </w:r>
    </w:p>
    <w:p>
      <w:pPr>
        <w:pStyle w:val="9"/>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_Toc9000 </w:instrText>
      </w:r>
      <w:r>
        <w:rPr>
          <w:rFonts w:ascii="黑体" w:hAnsi="黑体" w:eastAsia="黑体" w:cs="黑体"/>
          <w:szCs w:val="24"/>
        </w:rPr>
        <w:fldChar w:fldCharType="separate"/>
      </w:r>
      <w:r>
        <w:rPr>
          <w:rFonts w:hint="eastAsia" w:ascii="楷体" w:hAnsi="楷体" w:eastAsia="楷体" w:cs="楷体_GB2312"/>
          <w:szCs w:val="32"/>
        </w:rPr>
        <w:t>（三）体检依据</w:t>
      </w:r>
      <w:r>
        <w:tab/>
      </w:r>
      <w:r>
        <w:fldChar w:fldCharType="begin"/>
      </w:r>
      <w:r>
        <w:instrText xml:space="preserve"> PAGEREF _Toc9000 \h </w:instrText>
      </w:r>
      <w:r>
        <w:fldChar w:fldCharType="separate"/>
      </w:r>
      <w:r>
        <w:t>11</w:t>
      </w:r>
      <w:r>
        <w:fldChar w:fldCharType="end"/>
      </w:r>
      <w:r>
        <w:rPr>
          <w:rFonts w:ascii="黑体" w:hAnsi="黑体" w:eastAsia="黑体" w:cs="黑体"/>
          <w:szCs w:val="24"/>
        </w:rPr>
        <w:fldChar w:fldCharType="end"/>
      </w:r>
    </w:p>
    <w:p>
      <w:pPr>
        <w:pStyle w:val="9"/>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_Toc18014 </w:instrText>
      </w:r>
      <w:r>
        <w:rPr>
          <w:rFonts w:ascii="黑体" w:hAnsi="黑体" w:eastAsia="黑体" w:cs="黑体"/>
          <w:szCs w:val="24"/>
        </w:rPr>
        <w:fldChar w:fldCharType="separate"/>
      </w:r>
      <w:r>
        <w:rPr>
          <w:rFonts w:hint="eastAsia" w:ascii="楷体" w:hAnsi="楷体" w:eastAsia="楷体" w:cs="楷体_GB2312"/>
          <w:szCs w:val="32"/>
        </w:rPr>
        <w:t>（四）体检复检</w:t>
      </w:r>
      <w:r>
        <w:tab/>
      </w:r>
      <w:r>
        <w:fldChar w:fldCharType="begin"/>
      </w:r>
      <w:r>
        <w:instrText xml:space="preserve"> PAGEREF _Toc18014 \h </w:instrText>
      </w:r>
      <w:r>
        <w:fldChar w:fldCharType="separate"/>
      </w:r>
      <w:r>
        <w:t>11</w:t>
      </w:r>
      <w:r>
        <w:fldChar w:fldCharType="end"/>
      </w:r>
      <w:r>
        <w:rPr>
          <w:rFonts w:ascii="黑体" w:hAnsi="黑体" w:eastAsia="黑体" w:cs="黑体"/>
          <w:szCs w:val="24"/>
        </w:rPr>
        <w:fldChar w:fldCharType="end"/>
      </w:r>
    </w:p>
    <w:p>
      <w:pPr>
        <w:pStyle w:val="9"/>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_Toc31857 </w:instrText>
      </w:r>
      <w:r>
        <w:rPr>
          <w:rFonts w:ascii="黑体" w:hAnsi="黑体" w:eastAsia="黑体" w:cs="黑体"/>
          <w:szCs w:val="24"/>
        </w:rPr>
        <w:fldChar w:fldCharType="separate"/>
      </w:r>
      <w:r>
        <w:rPr>
          <w:rFonts w:hint="eastAsia" w:ascii="楷体" w:hAnsi="楷体" w:eastAsia="楷体" w:cs="楷体_GB2312"/>
          <w:szCs w:val="32"/>
        </w:rPr>
        <w:t>（五）可延迟体检的情形</w:t>
      </w:r>
      <w:r>
        <w:tab/>
      </w:r>
      <w:r>
        <w:fldChar w:fldCharType="begin"/>
      </w:r>
      <w:r>
        <w:instrText xml:space="preserve"> PAGEREF _Toc31857 \h </w:instrText>
      </w:r>
      <w:r>
        <w:fldChar w:fldCharType="separate"/>
      </w:r>
      <w:r>
        <w:t>12</w:t>
      </w:r>
      <w:r>
        <w:fldChar w:fldCharType="end"/>
      </w:r>
      <w:r>
        <w:rPr>
          <w:rFonts w:ascii="黑体" w:hAnsi="黑体" w:eastAsia="黑体" w:cs="黑体"/>
          <w:szCs w:val="24"/>
        </w:rPr>
        <w:fldChar w:fldCharType="end"/>
      </w:r>
    </w:p>
    <w:p>
      <w:pPr>
        <w:pStyle w:val="9"/>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_Toc25929 </w:instrText>
      </w:r>
      <w:r>
        <w:rPr>
          <w:rFonts w:ascii="黑体" w:hAnsi="黑体" w:eastAsia="黑体" w:cs="黑体"/>
          <w:szCs w:val="24"/>
        </w:rPr>
        <w:fldChar w:fldCharType="separate"/>
      </w:r>
      <w:r>
        <w:rPr>
          <w:rFonts w:hint="eastAsia" w:ascii="楷体" w:hAnsi="楷体" w:eastAsia="楷体" w:cs="楷体_GB2312"/>
          <w:szCs w:val="32"/>
        </w:rPr>
        <w:t>（六）考察</w:t>
      </w:r>
      <w:r>
        <w:tab/>
      </w:r>
      <w:r>
        <w:fldChar w:fldCharType="begin"/>
      </w:r>
      <w:r>
        <w:instrText xml:space="preserve"> PAGEREF _Toc25929 \h </w:instrText>
      </w:r>
      <w:r>
        <w:fldChar w:fldCharType="separate"/>
      </w:r>
      <w:r>
        <w:t>12</w:t>
      </w:r>
      <w:r>
        <w:fldChar w:fldCharType="end"/>
      </w:r>
      <w:r>
        <w:rPr>
          <w:rFonts w:ascii="黑体" w:hAnsi="黑体" w:eastAsia="黑体" w:cs="黑体"/>
          <w:szCs w:val="24"/>
        </w:rPr>
        <w:fldChar w:fldCharType="end"/>
      </w:r>
    </w:p>
    <w:p>
      <w:pPr>
        <w:pStyle w:val="8"/>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_Toc2811 </w:instrText>
      </w:r>
      <w:r>
        <w:rPr>
          <w:rFonts w:ascii="黑体" w:hAnsi="黑体" w:eastAsia="黑体" w:cs="黑体"/>
          <w:szCs w:val="24"/>
        </w:rPr>
        <w:fldChar w:fldCharType="separate"/>
      </w:r>
      <w:r>
        <w:rPr>
          <w:rFonts w:hint="eastAsia" w:ascii="黑体" w:hAnsi="黑体" w:eastAsia="黑体" w:cs="黑体"/>
          <w:bCs/>
          <w:szCs w:val="32"/>
        </w:rPr>
        <w:t>十一、公示</w:t>
      </w:r>
      <w:r>
        <w:tab/>
      </w:r>
      <w:r>
        <w:fldChar w:fldCharType="begin"/>
      </w:r>
      <w:r>
        <w:instrText xml:space="preserve"> PAGEREF _Toc2811 \h </w:instrText>
      </w:r>
      <w:r>
        <w:fldChar w:fldCharType="separate"/>
      </w:r>
      <w:r>
        <w:t>12</w:t>
      </w:r>
      <w:r>
        <w:fldChar w:fldCharType="end"/>
      </w:r>
      <w:r>
        <w:rPr>
          <w:rFonts w:ascii="黑体" w:hAnsi="黑体" w:eastAsia="黑体" w:cs="黑体"/>
          <w:szCs w:val="24"/>
        </w:rPr>
        <w:fldChar w:fldCharType="end"/>
      </w:r>
    </w:p>
    <w:p>
      <w:pPr>
        <w:pStyle w:val="8"/>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_Toc13541 </w:instrText>
      </w:r>
      <w:r>
        <w:rPr>
          <w:rFonts w:ascii="黑体" w:hAnsi="黑体" w:eastAsia="黑体" w:cs="黑体"/>
          <w:szCs w:val="24"/>
        </w:rPr>
        <w:fldChar w:fldCharType="separate"/>
      </w:r>
      <w:r>
        <w:rPr>
          <w:rFonts w:hint="eastAsia" w:ascii="黑体" w:hAnsi="黑体" w:eastAsia="黑体" w:cs="黑体"/>
          <w:bCs/>
          <w:szCs w:val="32"/>
        </w:rPr>
        <w:t>十二、聘用办理</w:t>
      </w:r>
      <w:r>
        <w:tab/>
      </w:r>
      <w:r>
        <w:fldChar w:fldCharType="begin"/>
      </w:r>
      <w:r>
        <w:instrText xml:space="preserve"> PAGEREF _Toc13541 \h </w:instrText>
      </w:r>
      <w:r>
        <w:fldChar w:fldCharType="separate"/>
      </w:r>
      <w:r>
        <w:t>13</w:t>
      </w:r>
      <w:r>
        <w:fldChar w:fldCharType="end"/>
      </w:r>
      <w:r>
        <w:rPr>
          <w:rFonts w:ascii="黑体" w:hAnsi="黑体" w:eastAsia="黑体" w:cs="黑体"/>
          <w:szCs w:val="24"/>
        </w:rPr>
        <w:fldChar w:fldCharType="end"/>
      </w:r>
    </w:p>
    <w:p>
      <w:pPr>
        <w:pStyle w:val="9"/>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_Toc29466 </w:instrText>
      </w:r>
      <w:r>
        <w:rPr>
          <w:rFonts w:ascii="黑体" w:hAnsi="黑体" w:eastAsia="黑体" w:cs="黑体"/>
          <w:szCs w:val="24"/>
        </w:rPr>
        <w:fldChar w:fldCharType="separate"/>
      </w:r>
      <w:r>
        <w:rPr>
          <w:rFonts w:hint="eastAsia" w:ascii="楷体" w:hAnsi="楷体" w:eastAsia="楷体" w:cs="楷体_GB2312"/>
          <w:szCs w:val="32"/>
        </w:rPr>
        <w:t>（一）聘用手续办理</w:t>
      </w:r>
      <w:r>
        <w:tab/>
      </w:r>
      <w:r>
        <w:fldChar w:fldCharType="begin"/>
      </w:r>
      <w:r>
        <w:instrText xml:space="preserve"> PAGEREF _Toc29466 \h </w:instrText>
      </w:r>
      <w:r>
        <w:fldChar w:fldCharType="separate"/>
      </w:r>
      <w:r>
        <w:t>13</w:t>
      </w:r>
      <w:r>
        <w:fldChar w:fldCharType="end"/>
      </w:r>
      <w:r>
        <w:rPr>
          <w:rFonts w:ascii="黑体" w:hAnsi="黑体" w:eastAsia="黑体" w:cs="黑体"/>
          <w:szCs w:val="24"/>
        </w:rPr>
        <w:fldChar w:fldCharType="end"/>
      </w:r>
    </w:p>
    <w:p>
      <w:pPr>
        <w:pStyle w:val="9"/>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_Toc7629 </w:instrText>
      </w:r>
      <w:r>
        <w:rPr>
          <w:rFonts w:ascii="黑体" w:hAnsi="黑体" w:eastAsia="黑体" w:cs="黑体"/>
          <w:szCs w:val="24"/>
        </w:rPr>
        <w:fldChar w:fldCharType="separate"/>
      </w:r>
      <w:r>
        <w:rPr>
          <w:rFonts w:hint="eastAsia" w:ascii="楷体" w:hAnsi="楷体" w:eastAsia="楷体" w:cs="楷体_GB2312"/>
          <w:szCs w:val="32"/>
        </w:rPr>
        <w:t>（二）岗位聘任</w:t>
      </w:r>
      <w:r>
        <w:tab/>
      </w:r>
      <w:r>
        <w:fldChar w:fldCharType="begin"/>
      </w:r>
      <w:r>
        <w:instrText xml:space="preserve"> PAGEREF _Toc7629 \h </w:instrText>
      </w:r>
      <w:r>
        <w:fldChar w:fldCharType="separate"/>
      </w:r>
      <w:r>
        <w:t>13</w:t>
      </w:r>
      <w:r>
        <w:fldChar w:fldCharType="end"/>
      </w:r>
      <w:r>
        <w:rPr>
          <w:rFonts w:ascii="黑体" w:hAnsi="黑体" w:eastAsia="黑体" w:cs="黑体"/>
          <w:szCs w:val="24"/>
        </w:rPr>
        <w:fldChar w:fldCharType="end"/>
      </w:r>
    </w:p>
    <w:p>
      <w:pPr>
        <w:pStyle w:val="8"/>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_Toc25133 </w:instrText>
      </w:r>
      <w:r>
        <w:rPr>
          <w:rFonts w:ascii="黑体" w:hAnsi="黑体" w:eastAsia="黑体" w:cs="黑体"/>
          <w:szCs w:val="24"/>
        </w:rPr>
        <w:fldChar w:fldCharType="separate"/>
      </w:r>
      <w:r>
        <w:rPr>
          <w:rFonts w:hint="eastAsia" w:ascii="黑体" w:hAnsi="黑体" w:eastAsia="黑体" w:cs="黑体"/>
          <w:bCs/>
          <w:szCs w:val="32"/>
        </w:rPr>
        <w:t>十三、其他需说明事项</w:t>
      </w:r>
      <w:r>
        <w:tab/>
      </w:r>
      <w:r>
        <w:fldChar w:fldCharType="begin"/>
      </w:r>
      <w:r>
        <w:instrText xml:space="preserve"> PAGEREF _Toc25133 \h </w:instrText>
      </w:r>
      <w:r>
        <w:fldChar w:fldCharType="separate"/>
      </w:r>
      <w:r>
        <w:t>13</w:t>
      </w:r>
      <w:r>
        <w:fldChar w:fldCharType="end"/>
      </w:r>
      <w:r>
        <w:rPr>
          <w:rFonts w:ascii="黑体" w:hAnsi="黑体" w:eastAsia="黑体" w:cs="黑体"/>
          <w:szCs w:val="24"/>
        </w:rPr>
        <w:fldChar w:fldCharType="end"/>
      </w:r>
    </w:p>
    <w:p>
      <w:pPr>
        <w:pStyle w:val="4"/>
        <w:tabs>
          <w:tab w:val="right" w:leader="dot" w:pos="8844"/>
        </w:tabs>
        <w:ind w:left="0" w:leftChars="0" w:firstLine="420" w:firstLineChars="200"/>
      </w:pPr>
      <w:r>
        <w:rPr>
          <w:rFonts w:ascii="黑体" w:hAnsi="黑体" w:eastAsia="黑体" w:cs="黑体"/>
          <w:szCs w:val="24"/>
        </w:rPr>
        <w:fldChar w:fldCharType="begin"/>
      </w:r>
      <w:r>
        <w:rPr>
          <w:rFonts w:ascii="黑体" w:hAnsi="黑体" w:eastAsia="黑体" w:cs="黑体"/>
          <w:szCs w:val="24"/>
        </w:rPr>
        <w:instrText xml:space="preserve"> HYPERLINK \l _Toc10835 </w:instrText>
      </w:r>
      <w:r>
        <w:rPr>
          <w:rFonts w:ascii="黑体" w:hAnsi="黑体" w:eastAsia="黑体" w:cs="黑体"/>
          <w:szCs w:val="24"/>
        </w:rPr>
        <w:fldChar w:fldCharType="separate"/>
      </w:r>
      <w:r>
        <w:rPr>
          <w:rFonts w:hint="eastAsia" w:ascii="楷体" w:hAnsi="楷体" w:eastAsia="楷体" w:cs="楷体_GB2312"/>
          <w:kern w:val="2"/>
          <w:sz w:val="21"/>
          <w:szCs w:val="32"/>
          <w:lang w:val="en-US" w:eastAsia="zh-CN" w:bidi="ar-SA"/>
        </w:rPr>
        <w:t>（一）职称</w:t>
      </w:r>
      <w:r>
        <w:tab/>
      </w:r>
      <w:r>
        <w:fldChar w:fldCharType="begin"/>
      </w:r>
      <w:r>
        <w:instrText xml:space="preserve"> PAGEREF _Toc10835 \h </w:instrText>
      </w:r>
      <w:r>
        <w:fldChar w:fldCharType="separate"/>
      </w:r>
      <w:r>
        <w:t>13</w:t>
      </w:r>
      <w:r>
        <w:fldChar w:fldCharType="end"/>
      </w:r>
      <w:r>
        <w:rPr>
          <w:rFonts w:ascii="黑体" w:hAnsi="黑体" w:eastAsia="黑体" w:cs="黑体"/>
          <w:szCs w:val="24"/>
        </w:rPr>
        <w:fldChar w:fldCharType="end"/>
      </w:r>
    </w:p>
    <w:p>
      <w:pPr>
        <w:pStyle w:val="4"/>
        <w:tabs>
          <w:tab w:val="right" w:leader="dot" w:pos="8844"/>
        </w:tabs>
        <w:ind w:left="0" w:leftChars="0" w:firstLine="420" w:firstLineChars="200"/>
      </w:pPr>
      <w:r>
        <w:rPr>
          <w:rFonts w:ascii="黑体" w:hAnsi="黑体" w:eastAsia="黑体" w:cs="黑体"/>
          <w:szCs w:val="24"/>
        </w:rPr>
        <w:fldChar w:fldCharType="begin"/>
      </w:r>
      <w:r>
        <w:rPr>
          <w:rFonts w:ascii="黑体" w:hAnsi="黑体" w:eastAsia="黑体" w:cs="黑体"/>
          <w:szCs w:val="24"/>
        </w:rPr>
        <w:instrText xml:space="preserve"> HYPERLINK \l _Toc10753 </w:instrText>
      </w:r>
      <w:r>
        <w:rPr>
          <w:rFonts w:ascii="黑体" w:hAnsi="黑体" w:eastAsia="黑体" w:cs="黑体"/>
          <w:szCs w:val="24"/>
        </w:rPr>
        <w:fldChar w:fldCharType="separate"/>
      </w:r>
      <w:r>
        <w:rPr>
          <w:rFonts w:hint="eastAsia" w:ascii="楷体" w:hAnsi="楷体" w:eastAsia="楷体" w:cs="楷体_GB2312"/>
          <w:kern w:val="2"/>
          <w:sz w:val="21"/>
          <w:szCs w:val="32"/>
          <w:lang w:val="en-US" w:eastAsia="zh-CN" w:bidi="ar-SA"/>
        </w:rPr>
        <w:t>（二）生源</w:t>
      </w:r>
      <w:r>
        <w:tab/>
      </w:r>
      <w:r>
        <w:fldChar w:fldCharType="begin"/>
      </w:r>
      <w:r>
        <w:instrText xml:space="preserve"> PAGEREF _Toc10753 \h </w:instrText>
      </w:r>
      <w:r>
        <w:fldChar w:fldCharType="separate"/>
      </w:r>
      <w:r>
        <w:t>14</w:t>
      </w:r>
      <w:r>
        <w:fldChar w:fldCharType="end"/>
      </w:r>
      <w:r>
        <w:rPr>
          <w:rFonts w:ascii="黑体" w:hAnsi="黑体" w:eastAsia="黑体" w:cs="黑体"/>
          <w:szCs w:val="24"/>
        </w:rPr>
        <w:fldChar w:fldCharType="end"/>
      </w:r>
    </w:p>
    <w:p>
      <w:pPr>
        <w:pStyle w:val="4"/>
        <w:tabs>
          <w:tab w:val="right" w:leader="dot" w:pos="8844"/>
        </w:tabs>
        <w:ind w:left="0" w:leftChars="0" w:firstLine="420" w:firstLineChars="200"/>
      </w:pPr>
      <w:r>
        <w:rPr>
          <w:rFonts w:ascii="黑体" w:hAnsi="黑体" w:eastAsia="黑体" w:cs="黑体"/>
          <w:szCs w:val="24"/>
        </w:rPr>
        <w:fldChar w:fldCharType="begin"/>
      </w:r>
      <w:r>
        <w:rPr>
          <w:rFonts w:ascii="黑体" w:hAnsi="黑体" w:eastAsia="黑体" w:cs="黑体"/>
          <w:szCs w:val="24"/>
        </w:rPr>
        <w:instrText xml:space="preserve"> HYPERLINK \l _Toc6854 </w:instrText>
      </w:r>
      <w:r>
        <w:rPr>
          <w:rFonts w:ascii="黑体" w:hAnsi="黑体" w:eastAsia="黑体" w:cs="黑体"/>
          <w:szCs w:val="24"/>
        </w:rPr>
        <w:fldChar w:fldCharType="separate"/>
      </w:r>
      <w:r>
        <w:rPr>
          <w:rFonts w:hint="eastAsia" w:ascii="楷体" w:hAnsi="楷体" w:eastAsia="楷体" w:cs="楷体_GB2312"/>
          <w:kern w:val="2"/>
          <w:sz w:val="21"/>
          <w:szCs w:val="32"/>
          <w:lang w:val="en-US" w:eastAsia="zh-CN" w:bidi="ar-SA"/>
        </w:rPr>
        <w:t>（三）港澳台人员</w:t>
      </w:r>
      <w:r>
        <w:tab/>
      </w:r>
      <w:r>
        <w:fldChar w:fldCharType="begin"/>
      </w:r>
      <w:r>
        <w:instrText xml:space="preserve"> PAGEREF _Toc6854 \h </w:instrText>
      </w:r>
      <w:r>
        <w:fldChar w:fldCharType="separate"/>
      </w:r>
      <w:r>
        <w:t>14</w:t>
      </w:r>
      <w:r>
        <w:fldChar w:fldCharType="end"/>
      </w:r>
      <w:r>
        <w:rPr>
          <w:rFonts w:ascii="黑体" w:hAnsi="黑体" w:eastAsia="黑体" w:cs="黑体"/>
          <w:szCs w:val="24"/>
        </w:rPr>
        <w:fldChar w:fldCharType="end"/>
      </w:r>
    </w:p>
    <w:p>
      <w:pPr>
        <w:pStyle w:val="4"/>
        <w:tabs>
          <w:tab w:val="right" w:leader="dot" w:pos="8844"/>
        </w:tabs>
        <w:ind w:left="0" w:leftChars="0" w:firstLine="420" w:firstLineChars="200"/>
      </w:pPr>
      <w:r>
        <w:rPr>
          <w:rFonts w:ascii="黑体" w:hAnsi="黑体" w:eastAsia="黑体" w:cs="黑体"/>
          <w:szCs w:val="24"/>
        </w:rPr>
        <w:fldChar w:fldCharType="begin"/>
      </w:r>
      <w:r>
        <w:rPr>
          <w:rFonts w:ascii="黑体" w:hAnsi="黑体" w:eastAsia="黑体" w:cs="黑体"/>
          <w:szCs w:val="24"/>
        </w:rPr>
        <w:instrText xml:space="preserve"> HYPERLINK \l _Toc20602 </w:instrText>
      </w:r>
      <w:r>
        <w:rPr>
          <w:rFonts w:ascii="黑体" w:hAnsi="黑体" w:eastAsia="黑体" w:cs="黑体"/>
          <w:szCs w:val="24"/>
        </w:rPr>
        <w:fldChar w:fldCharType="separate"/>
      </w:r>
      <w:r>
        <w:rPr>
          <w:rFonts w:hint="eastAsia" w:ascii="楷体" w:hAnsi="楷体" w:eastAsia="楷体" w:cs="楷体_GB2312"/>
          <w:kern w:val="2"/>
          <w:sz w:val="21"/>
          <w:szCs w:val="32"/>
          <w:lang w:val="en-US" w:eastAsia="zh-CN" w:bidi="ar-SA"/>
        </w:rPr>
        <w:t>（四）技工院校毕业生</w:t>
      </w:r>
      <w:r>
        <w:tab/>
      </w:r>
      <w:r>
        <w:fldChar w:fldCharType="begin"/>
      </w:r>
      <w:r>
        <w:instrText xml:space="preserve"> PAGEREF _Toc20602 \h </w:instrText>
      </w:r>
      <w:r>
        <w:fldChar w:fldCharType="separate"/>
      </w:r>
      <w:r>
        <w:t>14</w:t>
      </w:r>
      <w:r>
        <w:fldChar w:fldCharType="end"/>
      </w:r>
      <w:r>
        <w:rPr>
          <w:rFonts w:ascii="黑体" w:hAnsi="黑体" w:eastAsia="黑体" w:cs="黑体"/>
          <w:szCs w:val="24"/>
        </w:rPr>
        <w:fldChar w:fldCharType="end"/>
      </w:r>
    </w:p>
    <w:p>
      <w:pPr>
        <w:pStyle w:val="8"/>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_Toc20742 </w:instrText>
      </w:r>
      <w:r>
        <w:rPr>
          <w:rFonts w:ascii="黑体" w:hAnsi="黑体" w:eastAsia="黑体" w:cs="黑体"/>
          <w:szCs w:val="24"/>
        </w:rPr>
        <w:fldChar w:fldCharType="separate"/>
      </w:r>
      <w:r>
        <w:rPr>
          <w:rFonts w:hint="eastAsia" w:ascii="黑体" w:hAnsi="黑体" w:eastAsia="黑体" w:cs="黑体"/>
          <w:bCs/>
          <w:szCs w:val="32"/>
        </w:rPr>
        <w:t>十四、网上报名操作须知</w:t>
      </w:r>
      <w:r>
        <w:tab/>
      </w:r>
      <w:r>
        <w:fldChar w:fldCharType="begin"/>
      </w:r>
      <w:r>
        <w:instrText xml:space="preserve"> PAGEREF _Toc20742 \h </w:instrText>
      </w:r>
      <w:r>
        <w:fldChar w:fldCharType="separate"/>
      </w:r>
      <w:r>
        <w:t>14</w:t>
      </w:r>
      <w:r>
        <w:fldChar w:fldCharType="end"/>
      </w:r>
      <w:r>
        <w:rPr>
          <w:rFonts w:ascii="黑体" w:hAnsi="黑体" w:eastAsia="黑体" w:cs="黑体"/>
          <w:szCs w:val="24"/>
        </w:rPr>
        <w:fldChar w:fldCharType="end"/>
      </w:r>
    </w:p>
    <w:p>
      <w:pPr>
        <w:pStyle w:val="8"/>
        <w:tabs>
          <w:tab w:val="right" w:leader="dot" w:pos="8844"/>
        </w:tabs>
      </w:pPr>
      <w:r>
        <w:rPr>
          <w:rFonts w:ascii="黑体" w:hAnsi="黑体" w:eastAsia="黑体" w:cs="黑体"/>
          <w:szCs w:val="24"/>
        </w:rPr>
        <w:fldChar w:fldCharType="begin"/>
      </w:r>
      <w:r>
        <w:rPr>
          <w:rFonts w:ascii="黑体" w:hAnsi="黑体" w:eastAsia="黑体" w:cs="黑体"/>
          <w:szCs w:val="24"/>
        </w:rPr>
        <w:instrText xml:space="preserve"> HYPERLINK \l _Toc32090 </w:instrText>
      </w:r>
      <w:r>
        <w:rPr>
          <w:rFonts w:ascii="黑体" w:hAnsi="黑体" w:eastAsia="黑体" w:cs="黑体"/>
          <w:szCs w:val="24"/>
        </w:rPr>
        <w:fldChar w:fldCharType="separate"/>
      </w:r>
      <w:r>
        <w:rPr>
          <w:rFonts w:hint="eastAsia" w:ascii="黑体" w:hAnsi="黑体" w:eastAsia="黑体" w:cs="黑体"/>
          <w:bCs/>
          <w:szCs w:val="32"/>
        </w:rPr>
        <w:t>十五、疫情防控要求</w:t>
      </w:r>
      <w:r>
        <w:tab/>
      </w:r>
      <w:r>
        <w:fldChar w:fldCharType="begin"/>
      </w:r>
      <w:r>
        <w:instrText xml:space="preserve"> PAGEREF _Toc32090 \h </w:instrText>
      </w:r>
      <w:r>
        <w:fldChar w:fldCharType="separate"/>
      </w:r>
      <w:r>
        <w:t>15</w:t>
      </w:r>
      <w:r>
        <w:fldChar w:fldCharType="end"/>
      </w:r>
      <w:r>
        <w:rPr>
          <w:rFonts w:ascii="黑体" w:hAnsi="黑体" w:eastAsia="黑体" w:cs="黑体"/>
          <w:szCs w:val="24"/>
        </w:rPr>
        <w:fldChar w:fldCharType="end"/>
      </w:r>
    </w:p>
    <w:p>
      <w:pPr>
        <w:pStyle w:val="8"/>
        <w:tabs>
          <w:tab w:val="right" w:leader="dot" w:pos="8834"/>
        </w:tabs>
        <w:spacing w:line="480" w:lineRule="exact"/>
        <w:rPr>
          <w:rFonts w:ascii="黑体" w:hAnsi="黑体" w:eastAsia="黑体" w:cs="黑体"/>
          <w:sz w:val="24"/>
          <w:szCs w:val="24"/>
        </w:rPr>
      </w:pPr>
      <w:r>
        <w:rPr>
          <w:rFonts w:ascii="黑体" w:hAnsi="黑体" w:eastAsia="黑体" w:cs="黑体"/>
          <w:szCs w:val="24"/>
        </w:rPr>
        <w:fldChar w:fldCharType="end"/>
      </w:r>
    </w:p>
    <w:p>
      <w:pPr>
        <w:rPr>
          <w:rFonts w:eastAsia="黑体"/>
          <w:b/>
          <w:bCs/>
          <w:color w:val="FF0000"/>
          <w:highlight w:val="yellow"/>
        </w:rPr>
        <w:sectPr>
          <w:footerReference r:id="rId3" w:type="default"/>
          <w:pgSz w:w="11906" w:h="16838"/>
          <w:pgMar w:top="1418" w:right="1474" w:bottom="1418" w:left="1588" w:header="851" w:footer="992" w:gutter="0"/>
          <w:pgNumType w:start="1"/>
          <w:cols w:space="0" w:num="1"/>
          <w:docGrid w:type="lines" w:linePitch="312" w:charSpace="0"/>
        </w:sectPr>
      </w:pPr>
      <w:bookmarkStart w:id="88" w:name="_GoBack"/>
      <w:bookmarkEnd w:id="88"/>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帮助报考者详细了解报考政策、相关事项及提醒需要注意的有关事项，按照做好常态化疫情防控前提下事业单位公开招聘工作的要求，根据事业单位公开招聘工作人员有关规定，海沧区人力资源和社会保障局（以下简称“区人社局”）编写了《厦门市海沧区所属卫生事业单位公开招聘编内工作人员报考须知（</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月）》。本须知仅适用于厦门市海沧区所属卫生事业单位公开招聘编内工作人员考试（</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月），由区人社局负责解释。</w:t>
      </w:r>
    </w:p>
    <w:p>
      <w:pPr>
        <w:tabs>
          <w:tab w:val="left" w:pos="0"/>
        </w:tabs>
        <w:snapToGrid w:val="0"/>
        <w:spacing w:line="560" w:lineRule="exact"/>
        <w:ind w:firstLine="640" w:firstLineChars="200"/>
        <w:outlineLvl w:val="0"/>
        <w:rPr>
          <w:rFonts w:ascii="黑体" w:hAnsi="黑体" w:eastAsia="黑体" w:cs="黑体"/>
          <w:bCs/>
          <w:sz w:val="32"/>
          <w:szCs w:val="32"/>
        </w:rPr>
      </w:pPr>
      <w:bookmarkStart w:id="1" w:name="_Toc24396"/>
      <w:r>
        <w:rPr>
          <w:rFonts w:hint="eastAsia" w:ascii="黑体" w:hAnsi="黑体" w:eastAsia="黑体" w:cs="黑体"/>
          <w:bCs/>
          <w:sz w:val="32"/>
          <w:szCs w:val="32"/>
        </w:rPr>
        <w:t>一、基本条件</w:t>
      </w:r>
      <w:bookmarkEnd w:id="1"/>
    </w:p>
    <w:p>
      <w:pPr>
        <w:snapToGrid w:val="0"/>
        <w:spacing w:line="560" w:lineRule="exact"/>
        <w:ind w:firstLine="640" w:firstLineChars="200"/>
        <w:rPr>
          <w:rFonts w:ascii="仿宋_GB2312" w:hAnsi="仿宋_GB2312" w:eastAsia="仿宋_GB2312" w:cs="仿宋_GB2312"/>
          <w:sz w:val="32"/>
          <w:szCs w:val="32"/>
        </w:rPr>
      </w:pPr>
      <w:bookmarkStart w:id="2" w:name="_Toc19262_WPSOffice_Level2"/>
      <w:bookmarkStart w:id="3" w:name="_Toc17638_WPSOffice_Level2"/>
      <w:bookmarkStart w:id="4" w:name="_Toc29243_WPSOffice_Level2"/>
      <w:bookmarkStart w:id="5" w:name="_Toc9119_WPSOffice_Level2"/>
      <w:r>
        <w:rPr>
          <w:rFonts w:hint="eastAsia" w:ascii="仿宋_GB2312" w:hAnsi="仿宋_GB2312" w:eastAsia="仿宋_GB2312" w:cs="仿宋_GB2312"/>
          <w:sz w:val="32"/>
          <w:szCs w:val="32"/>
        </w:rPr>
        <w:t>（一）具有中华人民共和国国籍；</w:t>
      </w:r>
      <w:bookmarkEnd w:id="2"/>
      <w:bookmarkEnd w:id="3"/>
      <w:bookmarkEnd w:id="4"/>
      <w:bookmarkEnd w:id="5"/>
      <w:bookmarkStart w:id="6" w:name="_Toc12392_WPSOffice_Level2"/>
      <w:bookmarkStart w:id="7" w:name="_Toc17350_WPSOffice_Level2"/>
      <w:bookmarkStart w:id="8" w:name="_Toc11941_WPSOffice_Level2"/>
      <w:bookmarkStart w:id="9" w:name="_Toc4207_WPSOffice_Level2"/>
    </w:p>
    <w:bookmarkEnd w:id="6"/>
    <w:bookmarkEnd w:id="7"/>
    <w:bookmarkEnd w:id="8"/>
    <w:bookmarkEnd w:id="9"/>
    <w:p>
      <w:pPr>
        <w:snapToGrid w:val="0"/>
        <w:spacing w:line="560" w:lineRule="exact"/>
        <w:ind w:firstLine="640" w:firstLineChars="200"/>
        <w:rPr>
          <w:rFonts w:ascii="仿宋_GB2312" w:hAnsi="仿宋_GB2312" w:eastAsia="仿宋_GB2312" w:cs="仿宋_GB2312"/>
          <w:sz w:val="32"/>
          <w:szCs w:val="32"/>
        </w:rPr>
      </w:pPr>
      <w:bookmarkStart w:id="10" w:name="_Toc20094_WPSOffice_Level2"/>
      <w:bookmarkStart w:id="11" w:name="_Toc7847_WPSOffice_Level2"/>
      <w:bookmarkStart w:id="12" w:name="_Toc6014_WPSOffice_Level2"/>
      <w:bookmarkStart w:id="13" w:name="_Toc9634_WPSOffice_Level2"/>
      <w:r>
        <w:rPr>
          <w:rFonts w:hint="eastAsia" w:ascii="仿宋_GB2312" w:hAnsi="仿宋_GB2312" w:eastAsia="仿宋_GB2312" w:cs="仿宋_GB2312"/>
          <w:kern w:val="0"/>
          <w:sz w:val="32"/>
          <w:szCs w:val="32"/>
        </w:rPr>
        <w:t>（二）拥护中华人民共和国宪法</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拥护中国共产党领导和社会主义制度；</w:t>
      </w:r>
      <w:bookmarkEnd w:id="10"/>
      <w:bookmarkEnd w:id="11"/>
      <w:bookmarkEnd w:id="12"/>
      <w:bookmarkEnd w:id="13"/>
      <w:bookmarkStart w:id="14" w:name="_Toc30877_WPSOffice_Level2"/>
      <w:bookmarkStart w:id="15" w:name="_Toc6870_WPSOffice_Level2"/>
      <w:bookmarkStart w:id="16" w:name="_Toc13849_WPSOffice_Level2"/>
      <w:bookmarkStart w:id="17" w:name="_Toc27016_WPSOffice_Level2"/>
      <w:r>
        <w:rPr>
          <w:rFonts w:ascii="仿宋_GB2312" w:hAnsi="仿宋_GB2312" w:eastAsia="仿宋_GB2312" w:cs="仿宋_GB2312"/>
          <w:sz w:val="32"/>
          <w:szCs w:val="32"/>
        </w:rPr>
        <w:t xml:space="preserve"> </w:t>
      </w:r>
    </w:p>
    <w:bookmarkEnd w:id="14"/>
    <w:bookmarkEnd w:id="15"/>
    <w:bookmarkEnd w:id="16"/>
    <w:bookmarkEnd w:id="17"/>
    <w:p>
      <w:pPr>
        <w:snapToGrid w:val="0"/>
        <w:spacing w:line="560" w:lineRule="exact"/>
        <w:ind w:firstLine="640" w:firstLineChars="200"/>
        <w:rPr>
          <w:rFonts w:ascii="仿宋_GB2312" w:hAnsi="仿宋_GB2312" w:eastAsia="仿宋_GB2312" w:cs="仿宋_GB2312"/>
          <w:sz w:val="32"/>
          <w:szCs w:val="32"/>
        </w:rPr>
      </w:pPr>
      <w:bookmarkStart w:id="18" w:name="_Toc26060_WPSOffice_Level2"/>
      <w:bookmarkStart w:id="19" w:name="_Toc19929_WPSOffice_Level2"/>
      <w:bookmarkStart w:id="20" w:name="_Toc10788_WPSOffice_Level2"/>
      <w:bookmarkStart w:id="21" w:name="_Toc4758_WPSOffice_Level2"/>
      <w:r>
        <w:rPr>
          <w:rFonts w:hint="eastAsia" w:ascii="仿宋_GB2312" w:hAnsi="仿宋_GB2312" w:eastAsia="仿宋_GB2312" w:cs="仿宋_GB2312"/>
          <w:kern w:val="0"/>
          <w:sz w:val="32"/>
          <w:szCs w:val="32"/>
        </w:rPr>
        <w:t>（三）具有良好的政治素质和道德品行，具有正常履行职责的身心条件；</w:t>
      </w:r>
    </w:p>
    <w:bookmarkEnd w:id="18"/>
    <w:bookmarkEnd w:id="19"/>
    <w:bookmarkEnd w:id="20"/>
    <w:bookmarkEnd w:id="21"/>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w:t>
      </w:r>
      <w:r>
        <w:rPr>
          <w:rFonts w:ascii="仿宋_GB2312" w:eastAsia="仿宋_GB2312"/>
          <w:sz w:val="32"/>
          <w:szCs w:val="32"/>
        </w:rPr>
        <w:t>18</w:t>
      </w:r>
      <w:r>
        <w:rPr>
          <w:rFonts w:hint="eastAsia" w:ascii="仿宋_GB2312" w:eastAsia="仿宋_GB2312"/>
          <w:sz w:val="32"/>
          <w:szCs w:val="32"/>
        </w:rPr>
        <w:t>周岁以上、</w:t>
      </w:r>
      <w:r>
        <w:rPr>
          <w:rFonts w:ascii="仿宋_GB2312" w:eastAsia="仿宋_GB2312"/>
          <w:sz w:val="32"/>
          <w:szCs w:val="32"/>
        </w:rPr>
        <w:t>35</w:t>
      </w:r>
      <w:r>
        <w:rPr>
          <w:rFonts w:hint="eastAsia" w:ascii="仿宋_GB2312" w:eastAsia="仿宋_GB2312"/>
          <w:sz w:val="32"/>
          <w:szCs w:val="32"/>
        </w:rPr>
        <w:t>周岁以下（在</w:t>
      </w:r>
      <w:r>
        <w:rPr>
          <w:rFonts w:ascii="仿宋_GB2312" w:eastAsia="仿宋_GB2312"/>
          <w:sz w:val="32"/>
          <w:szCs w:val="32"/>
        </w:rPr>
        <w:t>1986</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月至</w:t>
      </w:r>
      <w:r>
        <w:rPr>
          <w:rFonts w:ascii="仿宋_GB2312" w:eastAsia="仿宋_GB2312"/>
          <w:sz w:val="32"/>
          <w:szCs w:val="32"/>
        </w:rPr>
        <w:t>2004</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月期间出生）；</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（五）具备招聘岗位设置的资格条件。</w:t>
      </w:r>
    </w:p>
    <w:p>
      <w:pPr>
        <w:tabs>
          <w:tab w:val="left" w:pos="0"/>
        </w:tabs>
        <w:snapToGrid w:val="0"/>
        <w:spacing w:line="560" w:lineRule="exact"/>
        <w:ind w:firstLine="640" w:firstLineChars="200"/>
        <w:outlineLvl w:val="0"/>
        <w:rPr>
          <w:rFonts w:ascii="黑体" w:hAnsi="黑体" w:eastAsia="黑体" w:cs="黑体"/>
          <w:bCs/>
          <w:sz w:val="32"/>
          <w:szCs w:val="32"/>
        </w:rPr>
      </w:pPr>
      <w:bookmarkStart w:id="22" w:name="_Toc11656"/>
      <w:r>
        <w:rPr>
          <w:rFonts w:hint="eastAsia" w:ascii="黑体" w:hAnsi="黑体" w:eastAsia="黑体" w:cs="黑体"/>
          <w:bCs/>
          <w:sz w:val="32"/>
          <w:szCs w:val="32"/>
        </w:rPr>
        <w:t>二、不得报考或取消报考（聘用）资格的情形</w:t>
      </w:r>
      <w:bookmarkEnd w:id="22"/>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（一）曾因犯罪受过刑事处罚的；</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eastAsia="仿宋_GB2312"/>
          <w:sz w:val="32"/>
          <w:szCs w:val="32"/>
        </w:rPr>
        <w:t>曾被开除公职或开除中国共产党党籍的</w:t>
      </w:r>
      <w:r>
        <w:rPr>
          <w:rFonts w:hint="eastAsia" w:ascii="仿宋_GB2312" w:hAnsi="仿宋_GB2312" w:eastAsia="仿宋_GB2312" w:cs="仿宋_GB2312"/>
          <w:sz w:val="32"/>
          <w:szCs w:val="32"/>
        </w:rPr>
        <w:t>；</w:t>
      </w:r>
    </w:p>
    <w:p>
      <w:pPr>
        <w:snapToGrid w:val="0"/>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（三）</w:t>
      </w:r>
      <w:r>
        <w:rPr>
          <w:rFonts w:hint="eastAsia" w:ascii="仿宋_GB2312" w:eastAsia="仿宋_GB2312"/>
          <w:sz w:val="32"/>
          <w:szCs w:val="32"/>
        </w:rPr>
        <w:t>被依法列为失信联合惩戒对象的；</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（四）在各级公务员或事业单位招考中被认定有舞弊等严重违反录</w:t>
      </w:r>
      <w:r>
        <w:rPr>
          <w:rFonts w:ascii="仿宋_GB2312" w:eastAsia="仿宋_GB2312"/>
          <w:sz w:val="32"/>
          <w:szCs w:val="32"/>
        </w:rPr>
        <w:t>(</w:t>
      </w:r>
      <w:r>
        <w:rPr>
          <w:rFonts w:hint="eastAsia" w:ascii="仿宋_GB2312" w:eastAsia="仿宋_GB2312"/>
          <w:sz w:val="32"/>
          <w:szCs w:val="32"/>
        </w:rPr>
        <w:t>聘</w:t>
      </w:r>
      <w:r>
        <w:rPr>
          <w:rFonts w:ascii="仿宋_GB2312" w:eastAsia="仿宋_GB2312"/>
          <w:sz w:val="32"/>
          <w:szCs w:val="32"/>
        </w:rPr>
        <w:t>)</w:t>
      </w:r>
      <w:r>
        <w:rPr>
          <w:rFonts w:hint="eastAsia" w:ascii="仿宋_GB2312" w:eastAsia="仿宋_GB2312"/>
          <w:sz w:val="32"/>
          <w:szCs w:val="32"/>
        </w:rPr>
        <w:t>用纪律行为的；</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eastAsia="仿宋_GB2312"/>
          <w:sz w:val="32"/>
          <w:szCs w:val="32"/>
        </w:rPr>
        <w:t>公务员或参照公务员法管理机关（单位）工作人员（以下简称“参公人员”）被辞退未满</w:t>
      </w:r>
      <w:r>
        <w:rPr>
          <w:rFonts w:ascii="仿宋_GB2312" w:eastAsia="仿宋_GB2312"/>
          <w:sz w:val="32"/>
          <w:szCs w:val="32"/>
        </w:rPr>
        <w:t>5</w:t>
      </w:r>
      <w:r>
        <w:rPr>
          <w:rFonts w:hint="eastAsia" w:ascii="仿宋_GB2312" w:eastAsia="仿宋_GB2312"/>
          <w:sz w:val="32"/>
          <w:szCs w:val="32"/>
        </w:rPr>
        <w:t>年的</w:t>
      </w:r>
      <w:r>
        <w:rPr>
          <w:rFonts w:hint="eastAsia" w:ascii="仿宋_GB2312" w:hAnsi="仿宋_GB2312" w:eastAsia="仿宋_GB2312" w:cs="仿宋_GB2312"/>
          <w:sz w:val="32"/>
          <w:szCs w:val="32"/>
        </w:rPr>
        <w:t>；</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（六）试用期内的公务员或参公人员；未达到与当地公务员主管部门或单位组织人事部门约定服务年限的公务员和参公人员</w:t>
      </w:r>
      <w:r>
        <w:rPr>
          <w:rFonts w:hint="eastAsia" w:ascii="仿宋_GB2312" w:eastAsia="仿宋_GB2312"/>
          <w:sz w:val="32"/>
          <w:szCs w:val="32"/>
        </w:rPr>
        <w:t>；</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eastAsia="仿宋_GB2312"/>
          <w:sz w:val="32"/>
          <w:szCs w:val="32"/>
        </w:rPr>
        <w:t>现役军人及普通高等院校全日制在读的非应届毕业生（即</w:t>
      </w:r>
      <w:r>
        <w:rPr>
          <w:rFonts w:ascii="仿宋_GB2312" w:eastAsia="仿宋_GB2312"/>
          <w:sz w:val="32"/>
          <w:szCs w:val="32"/>
        </w:rPr>
        <w:t>2023</w:t>
      </w:r>
      <w:r>
        <w:rPr>
          <w:rFonts w:hint="eastAsia" w:ascii="仿宋_GB2312" w:eastAsia="仿宋_GB2312"/>
          <w:sz w:val="32"/>
          <w:szCs w:val="32"/>
        </w:rPr>
        <w:t>年及以后才学业期满的全日制普通教育学生）</w:t>
      </w:r>
      <w:r>
        <w:rPr>
          <w:rFonts w:hint="eastAsia" w:ascii="仿宋_GB2312" w:hAnsi="仿宋_GB2312" w:eastAsia="仿宋_GB2312" w:cs="仿宋_GB2312"/>
          <w:sz w:val="32"/>
          <w:szCs w:val="32"/>
        </w:rPr>
        <w:t>；</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eastAsia="仿宋_GB2312"/>
          <w:sz w:val="32"/>
          <w:szCs w:val="32"/>
        </w:rPr>
        <w:t>涉嫌违法犯罪正在接受司法调查尚未做出结论的，或尚未解除党（政）纪处分的，或正在接受纪律审查的</w:t>
      </w:r>
      <w:r>
        <w:rPr>
          <w:rFonts w:ascii="仿宋_GB2312" w:hAnsi="仿宋_GB2312" w:eastAsia="仿宋_GB2312" w:cs="仿宋_GB2312"/>
          <w:sz w:val="32"/>
          <w:szCs w:val="32"/>
        </w:rPr>
        <w:t xml:space="preserve">; </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（九）聘用后即构成应回避关系的；</w:t>
      </w:r>
    </w:p>
    <w:p>
      <w:pPr>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（十）工作期间曾发生医疗事故负有主要责任的；</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（十一）法律法规规章规定不得聘为事业单位人员的其他情形。</w:t>
      </w:r>
      <w:r>
        <w:rPr>
          <w:rFonts w:ascii="仿宋_GB2312" w:hAnsi="仿宋_GB2312" w:eastAsia="仿宋_GB2312" w:cs="仿宋_GB2312"/>
          <w:sz w:val="32"/>
          <w:szCs w:val="32"/>
        </w:rPr>
        <w:t xml:space="preserve"> </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福建省内机关、事业单位、公立医疗卫生机构工作人员须征得所在单位同意方可报名，并须在面试资格复核时提供所在单位同意报考书面证明；确有实际困难的，经招聘单位及其主管部门同意，可在体检或考察时提供同意报考证明。</w:t>
      </w:r>
      <w:r>
        <w:rPr>
          <w:rFonts w:ascii="仿宋_GB2312" w:hAnsi="仿宋_GB2312" w:eastAsia="仿宋_GB2312" w:cs="仿宋_GB2312"/>
          <w:sz w:val="32"/>
          <w:szCs w:val="32"/>
        </w:rPr>
        <w:t xml:space="preserve"> </w:t>
      </w:r>
    </w:p>
    <w:p>
      <w:pPr>
        <w:tabs>
          <w:tab w:val="left" w:pos="0"/>
        </w:tabs>
        <w:snapToGrid w:val="0"/>
        <w:spacing w:line="560" w:lineRule="exact"/>
        <w:ind w:firstLine="640" w:firstLineChars="200"/>
        <w:outlineLvl w:val="0"/>
        <w:rPr>
          <w:rFonts w:ascii="黑体" w:hAnsi="黑体" w:eastAsia="黑体" w:cs="黑体"/>
          <w:bCs/>
          <w:sz w:val="32"/>
          <w:szCs w:val="32"/>
        </w:rPr>
      </w:pPr>
      <w:bookmarkStart w:id="23" w:name="_Toc32208"/>
      <w:r>
        <w:rPr>
          <w:rFonts w:hint="eastAsia" w:ascii="黑体" w:hAnsi="黑体" w:eastAsia="黑体" w:cs="黑体"/>
          <w:bCs/>
          <w:sz w:val="32"/>
          <w:szCs w:val="32"/>
        </w:rPr>
        <w:t>三、选报岗位</w:t>
      </w:r>
      <w:bookmarkEnd w:id="23"/>
    </w:p>
    <w:p>
      <w:pPr>
        <w:snapToGrid w:val="0"/>
        <w:spacing w:line="560" w:lineRule="exact"/>
        <w:ind w:firstLine="643" w:firstLineChars="200"/>
        <w:outlineLvl w:val="1"/>
        <w:rPr>
          <w:rFonts w:ascii="楷体" w:hAnsi="楷体" w:eastAsia="楷体" w:cs="楷体_GB2312"/>
          <w:b/>
          <w:bCs/>
          <w:sz w:val="32"/>
          <w:szCs w:val="32"/>
        </w:rPr>
      </w:pPr>
      <w:bookmarkStart w:id="24" w:name="_Toc8112"/>
      <w:r>
        <w:rPr>
          <w:rFonts w:hint="eastAsia" w:ascii="楷体" w:hAnsi="楷体" w:eastAsia="楷体" w:cs="楷体_GB2312"/>
          <w:b/>
          <w:bCs/>
          <w:sz w:val="32"/>
          <w:szCs w:val="32"/>
        </w:rPr>
        <w:t>（一）报考资格条件确认</w:t>
      </w:r>
      <w:bookmarkEnd w:id="24"/>
    </w:p>
    <w:p>
      <w:pPr>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eastAsia="仿宋_GB2312"/>
          <w:sz w:val="32"/>
          <w:szCs w:val="32"/>
        </w:rPr>
        <w:t>报考者须在报名时，全面、逐项对照招聘岗位和招聘简章等要求，确认符合报考资格条件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本次考试采取网上报名，请报考者登录厦门卫生人才网（网址：</w:t>
      </w:r>
      <w:r>
        <w:rPr>
          <w:rFonts w:ascii="仿宋_GB2312" w:hAnsi="仿宋_GB2312" w:eastAsia="仿宋_GB2312" w:cs="仿宋_GB2312"/>
          <w:sz w:val="32"/>
          <w:szCs w:val="32"/>
        </w:rPr>
        <w:t>https://www.xmwsrc.com/</w:t>
      </w:r>
      <w:r>
        <w:rPr>
          <w:rFonts w:hint="eastAsia" w:ascii="仿宋_GB2312" w:hAnsi="仿宋_GB2312" w:eastAsia="仿宋_GB2312" w:cs="仿宋_GB2312"/>
          <w:sz w:val="32"/>
          <w:szCs w:val="32"/>
        </w:rPr>
        <w:t>）进入厦门市卫生健康事业单位招聘考试系统（以下简称“报名系统”）进行报名。曾在报名系统注册信息的考生，可使用原有的用户名和密码登录，根据系统提示进行个人信息的更新维护及本次考试的报名。每名报考者只能报考</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个岗位，通过资格初审后不得更改，并以通过资格初审的岗位参加考试。</w:t>
      </w:r>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各岗位报名人数统计</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24:00</w:t>
      </w:r>
      <w:r>
        <w:rPr>
          <w:rFonts w:hint="eastAsia" w:ascii="仿宋_GB2312" w:hAnsi="仿宋_GB2312" w:eastAsia="仿宋_GB2312" w:cs="仿宋_GB2312"/>
          <w:sz w:val="32"/>
          <w:szCs w:val="32"/>
        </w:rPr>
        <w:t>起不再更新。请符合报告条件的人员尽早报名，防止出现网络拥堵无法成功报名，错失报考机会。</w:t>
      </w:r>
    </w:p>
    <w:p>
      <w:pPr>
        <w:snapToGrid w:val="0"/>
        <w:spacing w:line="560" w:lineRule="exact"/>
        <w:ind w:firstLine="643" w:firstLineChars="200"/>
        <w:outlineLvl w:val="1"/>
        <w:rPr>
          <w:rFonts w:ascii="楷体" w:hAnsi="楷体" w:eastAsia="楷体" w:cs="楷体_GB2312"/>
          <w:b/>
          <w:sz w:val="32"/>
          <w:szCs w:val="32"/>
        </w:rPr>
      </w:pPr>
      <w:bookmarkStart w:id="25" w:name="_Toc30421"/>
      <w:r>
        <w:rPr>
          <w:rFonts w:hint="eastAsia" w:ascii="楷体" w:hAnsi="楷体" w:eastAsia="楷体" w:cs="楷体_GB2312"/>
          <w:b/>
          <w:bCs/>
          <w:sz w:val="32"/>
          <w:szCs w:val="32"/>
        </w:rPr>
        <w:t>（二）</w:t>
      </w:r>
      <w:r>
        <w:rPr>
          <w:rFonts w:hint="eastAsia" w:ascii="楷体" w:hAnsi="楷体" w:eastAsia="楷体" w:cs="楷体_GB2312"/>
          <w:b/>
          <w:sz w:val="32"/>
          <w:szCs w:val="32"/>
        </w:rPr>
        <w:t>照片要求</w:t>
      </w:r>
      <w:bookmarkEnd w:id="25"/>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请提交近期正面免冠二寸彩色数码证件照（</w:t>
      </w:r>
      <w:r>
        <w:rPr>
          <w:rFonts w:ascii="仿宋_GB2312" w:hAnsi="仿宋_GB2312" w:eastAsia="仿宋_GB2312" w:cs="仿宋_GB2312"/>
          <w:sz w:val="32"/>
          <w:szCs w:val="32"/>
        </w:rPr>
        <w:t>jpg</w:t>
      </w:r>
      <w:r>
        <w:rPr>
          <w:rFonts w:hint="eastAsia" w:ascii="仿宋_GB2312" w:hAnsi="仿宋_GB2312" w:eastAsia="仿宋_GB2312" w:cs="仿宋_GB2312"/>
          <w:sz w:val="32"/>
          <w:szCs w:val="32"/>
        </w:rPr>
        <w:t>格式，规格</w:t>
      </w:r>
      <w:r>
        <w:rPr>
          <w:rFonts w:ascii="仿宋_GB2312" w:hAnsi="仿宋_GB2312" w:eastAsia="仿宋_GB2312" w:cs="仿宋_GB2312"/>
          <w:sz w:val="32"/>
          <w:szCs w:val="32"/>
        </w:rPr>
        <w:t>200K</w:t>
      </w:r>
      <w:r>
        <w:rPr>
          <w:rFonts w:hint="eastAsia" w:ascii="仿宋_GB2312" w:hAnsi="仿宋_GB2312" w:eastAsia="仿宋_GB2312" w:cs="仿宋_GB2312"/>
          <w:sz w:val="32"/>
          <w:szCs w:val="32"/>
        </w:rPr>
        <w:t>以下）。</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以下为常见不合格照片：①着制式服装照（公安、工商、武警等）；②着帽子或太醒目、夸张首饰等；③模糊不清晰的；④眼镜反光的；⑤明显不是个人照片的（如风景照、名人照等）；⑥随意自拍的半身照，全身照等无法看清楚脸的；</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⑦头发刘海遮挡面大的；⑧照片比例变形的；⑨手持证件的照片；⑩其他难以清晰辨认的。</w:t>
      </w:r>
    </w:p>
    <w:p>
      <w:pPr>
        <w:snapToGrid w:val="0"/>
        <w:spacing w:line="560" w:lineRule="exact"/>
        <w:ind w:firstLine="643" w:firstLineChars="200"/>
        <w:outlineLvl w:val="1"/>
        <w:rPr>
          <w:rFonts w:ascii="楷体" w:hAnsi="楷体" w:eastAsia="楷体" w:cs="楷体_GB2312"/>
          <w:b/>
          <w:bCs/>
          <w:sz w:val="32"/>
          <w:szCs w:val="32"/>
        </w:rPr>
      </w:pPr>
      <w:bookmarkStart w:id="26" w:name="_Toc7235"/>
      <w:r>
        <w:rPr>
          <w:rFonts w:hint="eastAsia" w:ascii="楷体" w:hAnsi="楷体" w:eastAsia="楷体" w:cs="楷体_GB2312"/>
          <w:b/>
          <w:bCs/>
          <w:sz w:val="32"/>
          <w:szCs w:val="32"/>
        </w:rPr>
        <w:t>（三）回避情形</w:t>
      </w:r>
      <w:bookmarkEnd w:id="26"/>
    </w:p>
    <w:p>
      <w:pPr>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sz w:val="32"/>
          <w:szCs w:val="32"/>
        </w:rPr>
        <w:t>(</w:t>
      </w:r>
      <w:r>
        <w:rPr>
          <w:rFonts w:hint="eastAsia" w:ascii="仿宋_GB2312" w:eastAsia="仿宋_GB2312"/>
          <w:sz w:val="32"/>
          <w:szCs w:val="32"/>
        </w:rPr>
        <w:t>人事</w:t>
      </w:r>
      <w:r>
        <w:rPr>
          <w:rFonts w:ascii="仿宋_GB2312" w:eastAsia="仿宋_GB2312"/>
          <w:sz w:val="32"/>
          <w:szCs w:val="32"/>
        </w:rPr>
        <w:t>)</w:t>
      </w:r>
      <w:r>
        <w:rPr>
          <w:rFonts w:hint="eastAsia" w:ascii="仿宋_GB2312" w:eastAsia="仿宋_GB2312"/>
          <w:sz w:val="32"/>
          <w:szCs w:val="32"/>
        </w:rPr>
        <w:t>、纪检监察、审计、财务工作的岗位，也不得聘用至双方直接隶属于同一领导人员的从事组织</w:t>
      </w:r>
      <w:r>
        <w:rPr>
          <w:rFonts w:ascii="仿宋_GB2312" w:eastAsia="仿宋_GB2312"/>
          <w:sz w:val="32"/>
          <w:szCs w:val="32"/>
        </w:rPr>
        <w:t>(</w:t>
      </w:r>
      <w:r>
        <w:rPr>
          <w:rFonts w:hint="eastAsia" w:ascii="仿宋_GB2312" w:eastAsia="仿宋_GB2312"/>
          <w:sz w:val="32"/>
          <w:szCs w:val="32"/>
        </w:rPr>
        <w:t>人事</w:t>
      </w:r>
      <w:r>
        <w:rPr>
          <w:rFonts w:ascii="仿宋_GB2312" w:eastAsia="仿宋_GB2312"/>
          <w:sz w:val="32"/>
          <w:szCs w:val="32"/>
        </w:rPr>
        <w:t>)</w:t>
      </w:r>
      <w:r>
        <w:rPr>
          <w:rFonts w:hint="eastAsia" w:ascii="仿宋_GB2312" w:eastAsia="仿宋_GB2312"/>
          <w:sz w:val="32"/>
          <w:szCs w:val="32"/>
        </w:rPr>
        <w:t>、纪检监察、审计、财务工作的内设机构正职岗位</w:t>
      </w:r>
      <w:r>
        <w:rPr>
          <w:rFonts w:hint="eastAsia" w:ascii="仿宋_GB2312" w:hAnsi="仿宋_GB2312" w:eastAsia="仿宋_GB2312" w:cs="仿宋_GB2312"/>
          <w:sz w:val="32"/>
          <w:szCs w:val="32"/>
        </w:rPr>
        <w:t>：</w:t>
      </w:r>
    </w:p>
    <w:p>
      <w:pPr>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夫妻关系</w:t>
      </w:r>
      <w:r>
        <w:rPr>
          <w:rFonts w:ascii="仿宋_GB2312" w:hAnsi="仿宋_GB2312" w:eastAsia="仿宋_GB2312" w:cs="仿宋_GB2312"/>
          <w:sz w:val="32"/>
          <w:szCs w:val="32"/>
        </w:rPr>
        <w:t>;</w:t>
      </w:r>
    </w:p>
    <w:p>
      <w:pPr>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直系血亲关系，包括祖父母、外祖父母、父母、子女、孙子女、外孙子女</w:t>
      </w:r>
      <w:r>
        <w:rPr>
          <w:rFonts w:ascii="仿宋_GB2312" w:hAnsi="仿宋_GB2312" w:eastAsia="仿宋_GB2312" w:cs="仿宋_GB2312"/>
          <w:sz w:val="32"/>
          <w:szCs w:val="32"/>
        </w:rPr>
        <w:t>;</w:t>
      </w:r>
    </w:p>
    <w:p>
      <w:pPr>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三代以内旁系血亲关系，包括叔伯姑舅姨、兄弟姐妹、堂兄弟姐妹、表兄弟姐妹、侄子女、甥子女</w:t>
      </w:r>
      <w:r>
        <w:rPr>
          <w:rFonts w:ascii="仿宋_GB2312" w:hAnsi="仿宋_GB2312" w:eastAsia="仿宋_GB2312" w:cs="仿宋_GB2312"/>
          <w:sz w:val="32"/>
          <w:szCs w:val="32"/>
        </w:rPr>
        <w:t>;</w:t>
      </w:r>
    </w:p>
    <w:p>
      <w:pPr>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近姻亲关系，包括配偶的父母、配偶的兄弟姐妹及其配偶、子女的配偶及子女配偶的父母、三代以内旁系血亲的配偶</w:t>
      </w:r>
      <w:r>
        <w:rPr>
          <w:rFonts w:ascii="仿宋_GB2312" w:hAnsi="仿宋_GB2312" w:eastAsia="仿宋_GB2312" w:cs="仿宋_GB2312"/>
          <w:sz w:val="32"/>
          <w:szCs w:val="32"/>
        </w:rPr>
        <w:t>;</w:t>
      </w:r>
    </w:p>
    <w:p>
      <w:pPr>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其他亲属关系，包括养父母子女、形成抚养关系的继父母子女及由此形成的直系血亲、三代以内旁系血亲和近姻亲关系。</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所称直接上下级领导关系包括：</w:t>
      </w:r>
    </w:p>
    <w:p>
      <w:pPr>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领导班子正职与副职</w:t>
      </w:r>
      <w:r>
        <w:rPr>
          <w:rFonts w:ascii="仿宋_GB2312" w:hAnsi="仿宋_GB2312" w:eastAsia="仿宋_GB2312" w:cs="仿宋_GB2312"/>
          <w:sz w:val="32"/>
          <w:szCs w:val="32"/>
        </w:rPr>
        <w:t>;</w:t>
      </w:r>
    </w:p>
    <w:p>
      <w:pPr>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同一内设机构正职与副职</w:t>
      </w:r>
      <w:r>
        <w:rPr>
          <w:rFonts w:ascii="仿宋_GB2312" w:hAnsi="仿宋_GB2312" w:eastAsia="仿宋_GB2312" w:cs="仿宋_GB2312"/>
          <w:sz w:val="32"/>
          <w:szCs w:val="32"/>
        </w:rPr>
        <w:t>;</w:t>
      </w:r>
    </w:p>
    <w:p>
      <w:pPr>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上级正职、副职与下级正职</w:t>
      </w:r>
      <w:r>
        <w:rPr>
          <w:rFonts w:ascii="仿宋_GB2312" w:hAnsi="仿宋_GB2312" w:eastAsia="仿宋_GB2312" w:cs="仿宋_GB2312"/>
          <w:sz w:val="32"/>
          <w:szCs w:val="32"/>
        </w:rPr>
        <w:t>;</w:t>
      </w:r>
    </w:p>
    <w:p>
      <w:pPr>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单位无内设机构的，其正职、副职与其他管理人员以及从事审计、财务工作的专业技术人员</w:t>
      </w:r>
      <w:r>
        <w:rPr>
          <w:rFonts w:ascii="仿宋_GB2312" w:hAnsi="仿宋_GB2312" w:eastAsia="仿宋_GB2312" w:cs="仿宋_GB2312"/>
          <w:sz w:val="32"/>
          <w:szCs w:val="32"/>
        </w:rPr>
        <w:t>;</w:t>
      </w:r>
    </w:p>
    <w:p>
      <w:pPr>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内设机构无下一级单位的，其正职、副职与其他管理人员以及从事审计、财务工作的专业技术人员。</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从事招聘工作的人员存在应当回避情形的，须实行履职回避。</w:t>
      </w:r>
    </w:p>
    <w:p>
      <w:pPr>
        <w:snapToGrid w:val="0"/>
        <w:spacing w:line="560" w:lineRule="exact"/>
        <w:ind w:firstLine="640" w:firstLineChars="200"/>
        <w:outlineLvl w:val="0"/>
        <w:rPr>
          <w:rFonts w:ascii="黑体" w:hAnsi="黑体" w:eastAsia="黑体" w:cs="黑体"/>
          <w:bCs/>
          <w:sz w:val="32"/>
          <w:szCs w:val="32"/>
        </w:rPr>
      </w:pPr>
      <w:bookmarkStart w:id="27" w:name="_Toc18389"/>
      <w:r>
        <w:rPr>
          <w:rFonts w:hint="eastAsia" w:ascii="黑体" w:hAnsi="黑体" w:eastAsia="黑体" w:cs="黑体"/>
          <w:bCs/>
          <w:sz w:val="32"/>
          <w:szCs w:val="32"/>
        </w:rPr>
        <w:t>四、年龄</w:t>
      </w:r>
      <w:bookmarkStart w:id="28" w:name="_Toc32153"/>
      <w:r>
        <w:rPr>
          <w:rFonts w:hint="eastAsia" w:ascii="黑体" w:hAnsi="黑体" w:eastAsia="黑体" w:cs="黑体"/>
          <w:bCs/>
          <w:sz w:val="32"/>
          <w:szCs w:val="32"/>
        </w:rPr>
        <w:t>、资格（历）等的计算办法</w:t>
      </w:r>
      <w:bookmarkEnd w:id="27"/>
      <w:bookmarkEnd w:id="28"/>
    </w:p>
    <w:p>
      <w:pPr>
        <w:snapToGrid w:val="0"/>
        <w:spacing w:line="560" w:lineRule="exact"/>
        <w:ind w:firstLine="643" w:firstLineChars="200"/>
        <w:outlineLvl w:val="1"/>
        <w:rPr>
          <w:rFonts w:ascii="楷体" w:hAnsi="楷体" w:eastAsia="楷体" w:cs="楷体_GB2312"/>
          <w:b/>
          <w:bCs/>
          <w:sz w:val="32"/>
          <w:szCs w:val="32"/>
        </w:rPr>
      </w:pPr>
      <w:bookmarkStart w:id="29" w:name="_Toc23613"/>
      <w:bookmarkStart w:id="30" w:name="_Toc22003"/>
      <w:r>
        <w:rPr>
          <w:rFonts w:hint="eastAsia" w:ascii="楷体" w:hAnsi="楷体" w:eastAsia="楷体" w:cs="楷体_GB2312"/>
          <w:b/>
          <w:bCs/>
          <w:sz w:val="32"/>
          <w:szCs w:val="32"/>
        </w:rPr>
        <w:t>（一）年龄</w:t>
      </w:r>
      <w:bookmarkEnd w:id="29"/>
      <w:bookmarkEnd w:id="30"/>
    </w:p>
    <w:p>
      <w:pPr>
        <w:snapToGrid w:val="0"/>
        <w:spacing w:line="560" w:lineRule="exact"/>
        <w:ind w:firstLine="640" w:firstLineChars="200"/>
        <w:rPr>
          <w:rFonts w:ascii="仿宋_GB2312" w:hAnsi="仿宋_GB2312" w:eastAsia="仿宋_GB2312" w:cs="仿宋_GB2312"/>
          <w:bCs/>
          <w:sz w:val="32"/>
          <w:szCs w:val="32"/>
        </w:rPr>
      </w:pPr>
      <w:r>
        <w:rPr>
          <w:rFonts w:hint="eastAsia" w:ascii="仿宋_GB2312" w:eastAsia="仿宋_GB2312"/>
          <w:sz w:val="32"/>
          <w:szCs w:val="32"/>
        </w:rPr>
        <w:t>如无特别说明，相关年限的计算、证书取得时间等，均指计算截至报名截止当月，即</w:t>
      </w:r>
      <w:r>
        <w:rPr>
          <w:rFonts w:ascii="仿宋_GB2312" w:eastAsia="仿宋_GB2312"/>
          <w:sz w:val="32"/>
          <w:szCs w:val="32"/>
        </w:rPr>
        <w:t>2022</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w:t>
      </w:r>
      <w:r>
        <w:rPr>
          <w:rFonts w:hint="eastAsia" w:ascii="仿宋_GB2312" w:hAnsi="仿宋_GB2312" w:eastAsia="仿宋_GB2312" w:cs="仿宋_GB2312"/>
          <w:bCs/>
          <w:sz w:val="32"/>
          <w:szCs w:val="32"/>
        </w:rPr>
        <w:t>。</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最高年龄要求</w:t>
      </w:r>
      <w:r>
        <w:rPr>
          <w:rFonts w:ascii="仿宋_GB2312" w:eastAsia="仿宋_GB2312"/>
          <w:sz w:val="32"/>
          <w:szCs w:val="32"/>
        </w:rPr>
        <w:t>35</w:t>
      </w:r>
      <w:r>
        <w:rPr>
          <w:rFonts w:hint="eastAsia" w:ascii="仿宋_GB2312" w:eastAsia="仿宋_GB2312"/>
          <w:sz w:val="32"/>
          <w:szCs w:val="32"/>
        </w:rPr>
        <w:t>周岁是指</w:t>
      </w:r>
      <w:r>
        <w:rPr>
          <w:rFonts w:ascii="仿宋_GB2312" w:eastAsia="仿宋_GB2312"/>
          <w:sz w:val="32"/>
          <w:szCs w:val="32"/>
        </w:rPr>
        <w:t>18</w:t>
      </w:r>
      <w:r>
        <w:rPr>
          <w:rFonts w:hint="eastAsia" w:ascii="仿宋_GB2312" w:eastAsia="仿宋_GB2312"/>
          <w:sz w:val="32"/>
          <w:szCs w:val="32"/>
        </w:rPr>
        <w:t>周岁以上、</w:t>
      </w:r>
      <w:r>
        <w:rPr>
          <w:rFonts w:ascii="仿宋_GB2312" w:eastAsia="仿宋_GB2312"/>
          <w:sz w:val="32"/>
          <w:szCs w:val="32"/>
        </w:rPr>
        <w:t>35</w:t>
      </w:r>
      <w:r>
        <w:rPr>
          <w:rFonts w:hint="eastAsia" w:ascii="仿宋_GB2312" w:eastAsia="仿宋_GB2312"/>
          <w:sz w:val="32"/>
          <w:szCs w:val="32"/>
        </w:rPr>
        <w:t>周岁以下（在</w:t>
      </w:r>
      <w:r>
        <w:rPr>
          <w:rFonts w:ascii="仿宋_GB2312" w:eastAsia="仿宋_GB2312"/>
          <w:sz w:val="32"/>
          <w:szCs w:val="32"/>
        </w:rPr>
        <w:t>1986</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月至</w:t>
      </w:r>
      <w:r>
        <w:rPr>
          <w:rFonts w:ascii="仿宋_GB2312" w:eastAsia="仿宋_GB2312"/>
          <w:sz w:val="32"/>
          <w:szCs w:val="32"/>
        </w:rPr>
        <w:t>2004</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月期间出生）的人员。</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其他年龄要求按此类推。</w:t>
      </w:r>
    </w:p>
    <w:p>
      <w:pPr>
        <w:snapToGrid w:val="0"/>
        <w:spacing w:line="560" w:lineRule="exact"/>
        <w:ind w:firstLine="643" w:firstLineChars="200"/>
        <w:outlineLvl w:val="1"/>
        <w:rPr>
          <w:rFonts w:ascii="楷体" w:hAnsi="楷体" w:eastAsia="楷体" w:cs="楷体_GB2312"/>
          <w:b/>
          <w:bCs/>
          <w:sz w:val="32"/>
          <w:szCs w:val="32"/>
        </w:rPr>
      </w:pPr>
      <w:bookmarkStart w:id="31" w:name="_Toc28438"/>
      <w:bookmarkStart w:id="32" w:name="_Toc22936"/>
      <w:r>
        <w:rPr>
          <w:rFonts w:hint="eastAsia" w:ascii="楷体" w:hAnsi="楷体" w:eastAsia="楷体" w:cs="楷体_GB2312"/>
          <w:b/>
          <w:bCs/>
          <w:sz w:val="32"/>
          <w:szCs w:val="32"/>
        </w:rPr>
        <w:t>（二）资格（历）等</w:t>
      </w:r>
      <w:bookmarkEnd w:id="31"/>
      <w:bookmarkEnd w:id="32"/>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岗位资格条件、《简章》和《报考须知》要求具有××条件以上的，如无特别说明，均含本数。如：具有</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年以上工作经历，指截至报名截止当月具有</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年或</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年以上工作经历。</w:t>
      </w:r>
    </w:p>
    <w:p>
      <w:pPr>
        <w:snapToGrid w:val="0"/>
        <w:spacing w:line="560" w:lineRule="exact"/>
        <w:ind w:firstLine="640" w:firstLineChars="200"/>
        <w:rPr>
          <w:rFonts w:ascii="仿宋_GB2312" w:hAnsi="仿宋_GB2312" w:eastAsia="仿宋_GB2312" w:cs="仿宋_GB2312"/>
          <w:sz w:val="32"/>
          <w:szCs w:val="32"/>
        </w:rPr>
      </w:pPr>
    </w:p>
    <w:p>
      <w:pPr>
        <w:snapToGrid w:val="0"/>
        <w:spacing w:line="560" w:lineRule="exact"/>
        <w:ind w:firstLine="640" w:firstLineChars="200"/>
        <w:outlineLvl w:val="0"/>
        <w:rPr>
          <w:rFonts w:ascii="黑体" w:hAnsi="黑体" w:eastAsia="黑体" w:cs="黑体"/>
          <w:bCs/>
          <w:sz w:val="32"/>
          <w:szCs w:val="32"/>
        </w:rPr>
      </w:pPr>
      <w:bookmarkStart w:id="33" w:name="_Toc29186"/>
      <w:r>
        <w:rPr>
          <w:rFonts w:hint="eastAsia" w:ascii="黑体" w:hAnsi="黑体" w:eastAsia="黑体" w:cs="黑体"/>
          <w:bCs/>
          <w:sz w:val="32"/>
          <w:szCs w:val="32"/>
        </w:rPr>
        <w:t>五、学历（位）认定</w:t>
      </w:r>
      <w:bookmarkEnd w:id="33"/>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岗位资格条件要求的学历（位）须是国家承认的国民教育毕业学历（位）。</w:t>
      </w:r>
    </w:p>
    <w:p>
      <w:pPr>
        <w:snapToGrid w:val="0"/>
        <w:spacing w:line="560" w:lineRule="exact"/>
        <w:ind w:firstLine="643" w:firstLineChars="200"/>
        <w:outlineLvl w:val="1"/>
        <w:rPr>
          <w:rFonts w:ascii="楷体" w:hAnsi="楷体" w:eastAsia="楷体" w:cs="楷体_GB2312"/>
          <w:b/>
          <w:bCs/>
          <w:sz w:val="32"/>
          <w:szCs w:val="32"/>
        </w:rPr>
      </w:pPr>
      <w:bookmarkStart w:id="34" w:name="_Toc30407"/>
      <w:r>
        <w:rPr>
          <w:rFonts w:hint="eastAsia" w:ascii="楷体" w:hAnsi="楷体" w:eastAsia="楷体" w:cs="楷体_GB2312"/>
          <w:b/>
          <w:bCs/>
          <w:sz w:val="32"/>
          <w:szCs w:val="32"/>
        </w:rPr>
        <w:t>（一）境内学历（位）</w:t>
      </w:r>
      <w:bookmarkEnd w:id="34"/>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用于报考的学历（含自学考试、成人教育、网络教育、夜大、电大等）应在中国高等教育学生信息网（简称“学信网”，</w:t>
      </w:r>
      <w:r>
        <w:rPr>
          <w:rFonts w:ascii="仿宋_GB2312" w:eastAsia="仿宋_GB2312"/>
          <w:sz w:val="32"/>
          <w:szCs w:val="32"/>
        </w:rPr>
        <w:t>http://www.chsi.com.cn/</w:t>
      </w:r>
      <w:r>
        <w:rPr>
          <w:rFonts w:hint="eastAsia" w:ascii="仿宋_GB2312" w:eastAsia="仿宋_GB2312"/>
          <w:sz w:val="32"/>
          <w:szCs w:val="32"/>
        </w:rPr>
        <w:t>）上可查询认证；符合报考专业要求的学位，应在中国学位与研究生教育信息网（简称“学位网”，</w:t>
      </w:r>
      <w:r>
        <w:rPr>
          <w:rFonts w:ascii="仿宋_GB2312" w:eastAsia="仿宋_GB2312"/>
          <w:sz w:val="32"/>
          <w:szCs w:val="32"/>
        </w:rPr>
        <w:t>http://www.cdgdc.edu.cn/</w:t>
      </w:r>
      <w:r>
        <w:rPr>
          <w:rFonts w:hint="eastAsia" w:ascii="仿宋_GB2312" w:eastAsia="仿宋_GB2312"/>
          <w:sz w:val="32"/>
          <w:szCs w:val="32"/>
        </w:rPr>
        <w:t>）上可查询认证。以辅修专业报考的，应同时取得国家承认的列入国民教育序列学历毕业证书，并且辅修专业相应信息可在“学信网”和“学位网”上查询。</w:t>
      </w:r>
    </w:p>
    <w:p>
      <w:pPr>
        <w:snapToGrid w:val="0"/>
        <w:spacing w:line="560" w:lineRule="exact"/>
        <w:ind w:firstLine="643" w:firstLineChars="200"/>
        <w:outlineLvl w:val="1"/>
        <w:rPr>
          <w:rFonts w:ascii="楷体" w:hAnsi="楷体" w:eastAsia="楷体" w:cs="楷体_GB2312"/>
          <w:b/>
          <w:bCs/>
          <w:sz w:val="32"/>
          <w:szCs w:val="32"/>
        </w:rPr>
      </w:pPr>
      <w:bookmarkStart w:id="35" w:name="_Toc16410"/>
      <w:r>
        <w:rPr>
          <w:rFonts w:hint="eastAsia" w:ascii="楷体" w:hAnsi="楷体" w:eastAsia="楷体" w:cs="楷体_GB2312"/>
          <w:b/>
          <w:bCs/>
          <w:sz w:val="32"/>
          <w:szCs w:val="32"/>
        </w:rPr>
        <w:t>（二）国（境）外学历（位）</w:t>
      </w:r>
      <w:bookmarkEnd w:id="35"/>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持国（境）外学历（位）报考的，应提供教育部留学服务中心出具的《国外学历学位认证书》或《香港、澳门特别行政区学历学位认证书》等有关证明材料。</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属于国内院校与国（境）外院校联合办学取得国（境）外学历学位的，需提供教育部留学服务中心出具的《联合办学学历学位评估意见书》或《联合办学学历学位认证书》。</w:t>
      </w:r>
    </w:p>
    <w:p>
      <w:pPr>
        <w:snapToGrid w:val="0"/>
        <w:spacing w:line="560" w:lineRule="exact"/>
        <w:ind w:firstLine="643" w:firstLineChars="200"/>
        <w:outlineLvl w:val="1"/>
        <w:rPr>
          <w:rFonts w:ascii="楷体" w:hAnsi="楷体" w:eastAsia="楷体" w:cs="楷体_GB2312"/>
          <w:b/>
          <w:bCs/>
          <w:sz w:val="32"/>
          <w:szCs w:val="32"/>
        </w:rPr>
      </w:pPr>
      <w:bookmarkStart w:id="36" w:name="_Toc22572"/>
      <w:r>
        <w:rPr>
          <w:rFonts w:hint="eastAsia" w:ascii="楷体" w:hAnsi="楷体" w:eastAsia="楷体" w:cs="楷体_GB2312"/>
          <w:b/>
          <w:bCs/>
          <w:sz w:val="32"/>
          <w:szCs w:val="32"/>
        </w:rPr>
        <w:t>（三）我省“双学位”“双专业”学历</w:t>
      </w:r>
      <w:bookmarkEnd w:id="36"/>
    </w:p>
    <w:p>
      <w:pPr>
        <w:snapToGrid w:val="0"/>
        <w:spacing w:line="560" w:lineRule="exact"/>
        <w:ind w:firstLine="600"/>
        <w:rPr>
          <w:rFonts w:ascii="仿宋_GB2312" w:eastAsia="仿宋_GB2312"/>
          <w:sz w:val="32"/>
          <w:szCs w:val="32"/>
        </w:rPr>
      </w:pPr>
      <w:r>
        <w:rPr>
          <w:rFonts w:hint="eastAsia" w:ascii="仿宋_GB2312" w:eastAsia="仿宋_GB2312"/>
          <w:sz w:val="32"/>
          <w:szCs w:val="32"/>
        </w:rPr>
        <w:t>根据《关于在全省高校毕业生中试行“双学位”“双专业”教育的意见》（闽教高〔</w:t>
      </w:r>
      <w:r>
        <w:rPr>
          <w:rFonts w:ascii="仿宋_GB2312" w:eastAsia="仿宋_GB2312"/>
          <w:sz w:val="32"/>
          <w:szCs w:val="32"/>
        </w:rPr>
        <w:t>2009</w:t>
      </w:r>
      <w:r>
        <w:rPr>
          <w:rFonts w:hint="eastAsia" w:ascii="仿宋_GB2312" w:eastAsia="仿宋_GB2312"/>
          <w:sz w:val="32"/>
          <w:szCs w:val="32"/>
        </w:rPr>
        <w:t>〕</w:t>
      </w:r>
      <w:r>
        <w:rPr>
          <w:rFonts w:ascii="仿宋_GB2312" w:eastAsia="仿宋_GB2312"/>
          <w:sz w:val="32"/>
          <w:szCs w:val="32"/>
        </w:rPr>
        <w:t>9</w:t>
      </w:r>
      <w:r>
        <w:rPr>
          <w:rFonts w:hint="eastAsia" w:ascii="仿宋_GB2312" w:eastAsia="仿宋_GB2312"/>
          <w:sz w:val="32"/>
          <w:szCs w:val="32"/>
        </w:rPr>
        <w:t>号），经修读达到毕业条件并获得“双学位”“双专业”证书的报考者，在本省范围内承认其学历、学位。</w:t>
      </w:r>
    </w:p>
    <w:p>
      <w:pPr>
        <w:snapToGrid w:val="0"/>
        <w:spacing w:line="560" w:lineRule="exact"/>
        <w:ind w:firstLine="643" w:firstLineChars="200"/>
        <w:outlineLvl w:val="1"/>
        <w:rPr>
          <w:rFonts w:ascii="楷体" w:hAnsi="楷体" w:eastAsia="楷体" w:cs="楷体_GB2312"/>
          <w:b/>
          <w:bCs/>
          <w:sz w:val="32"/>
          <w:szCs w:val="32"/>
        </w:rPr>
      </w:pPr>
      <w:bookmarkStart w:id="37" w:name="_Toc775"/>
      <w:r>
        <w:rPr>
          <w:rFonts w:hint="eastAsia" w:ascii="楷体" w:hAnsi="楷体" w:eastAsia="楷体" w:cs="楷体_GB2312"/>
          <w:b/>
          <w:bCs/>
          <w:sz w:val="32"/>
          <w:szCs w:val="32"/>
        </w:rPr>
        <w:t>（四）提醒事项</w:t>
      </w:r>
      <w:bookmarkEnd w:id="37"/>
    </w:p>
    <w:p>
      <w:pPr>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eastAsia="仿宋_GB2312"/>
          <w:sz w:val="32"/>
          <w:szCs w:val="32"/>
        </w:rPr>
        <w:t>面试资格复核时，招聘单位将对学历（位）进行核查，请考生按照上述要求，提前做好相应认证报告或网上查验准备</w:t>
      </w:r>
      <w:r>
        <w:rPr>
          <w:rFonts w:hint="eastAsia" w:ascii="仿宋_GB2312" w:hAnsi="仿宋_GB2312" w:eastAsia="仿宋_GB2312" w:cs="仿宋_GB2312"/>
          <w:sz w:val="32"/>
          <w:szCs w:val="32"/>
        </w:rPr>
        <w:t>。</w:t>
      </w:r>
    </w:p>
    <w:p>
      <w:pPr>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2.2022</w:t>
      </w:r>
      <w:r>
        <w:rPr>
          <w:rFonts w:hint="eastAsia" w:ascii="仿宋_GB2312" w:hAnsi="仿宋_GB2312" w:eastAsia="仿宋_GB2312" w:cs="仿宋_GB2312"/>
          <w:sz w:val="32"/>
          <w:szCs w:val="32"/>
        </w:rPr>
        <w:t>届毕业生和持国（境）外学历（位）者在岗位资格复核时需提交或书面承诺于</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日前取得并能提供符合岗位报考条件的相应学历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证书及其认证材料，否则视为自动放弃考试（聘用）资格。</w:t>
      </w:r>
    </w:p>
    <w:p>
      <w:pPr>
        <w:snapToGrid w:val="0"/>
        <w:spacing w:line="560" w:lineRule="exact"/>
        <w:ind w:firstLine="640" w:firstLineChars="200"/>
        <w:outlineLvl w:val="0"/>
        <w:rPr>
          <w:rFonts w:ascii="黑体" w:hAnsi="黑体" w:eastAsia="黑体" w:cs="黑体"/>
          <w:bCs/>
          <w:sz w:val="32"/>
          <w:szCs w:val="32"/>
        </w:rPr>
      </w:pPr>
      <w:bookmarkStart w:id="38" w:name="_Toc31666"/>
      <w:r>
        <w:rPr>
          <w:rFonts w:hint="eastAsia" w:ascii="黑体" w:hAnsi="黑体" w:eastAsia="黑体" w:cs="黑体"/>
          <w:bCs/>
          <w:sz w:val="32"/>
          <w:szCs w:val="32"/>
        </w:rPr>
        <w:t>六、专业</w:t>
      </w:r>
      <w:bookmarkEnd w:id="38"/>
    </w:p>
    <w:p>
      <w:pPr>
        <w:snapToGrid w:val="0"/>
        <w:spacing w:line="560" w:lineRule="exact"/>
        <w:ind w:firstLine="640" w:firstLineChars="200"/>
        <w:rPr>
          <w:rFonts w:ascii="仿宋_GB2312" w:hAnsi="仿宋_GB2312" w:eastAsia="仿宋_GB2312" w:cs="仿宋_GB2312"/>
          <w:sz w:val="32"/>
          <w:szCs w:val="32"/>
          <w:bdr w:val="single" w:color="auto" w:sz="4" w:space="0"/>
        </w:rPr>
      </w:pPr>
      <w:r>
        <w:rPr>
          <w:rFonts w:hint="eastAsia" w:ascii="仿宋_GB2312" w:eastAsia="仿宋_GB2312"/>
          <w:sz w:val="32"/>
          <w:szCs w:val="32"/>
        </w:rPr>
        <w:t>本次招考以《福建省机关事业单位招考专业指导目录（</w:t>
      </w:r>
      <w:r>
        <w:rPr>
          <w:rFonts w:ascii="仿宋_GB2312" w:eastAsia="仿宋_GB2312"/>
          <w:sz w:val="32"/>
          <w:szCs w:val="32"/>
        </w:rPr>
        <w:t>2022</w:t>
      </w:r>
      <w:r>
        <w:rPr>
          <w:rFonts w:hint="eastAsia" w:ascii="仿宋_GB2312" w:eastAsia="仿宋_GB2312"/>
          <w:sz w:val="32"/>
          <w:szCs w:val="32"/>
        </w:rPr>
        <w:t>年）》（文中简称《专业指导目录》）作为岗位专业条件设置和审核的依据。其他来源的专业指导目录不作为本次报考和审核的依据</w:t>
      </w:r>
      <w:r>
        <w:rPr>
          <w:rFonts w:hint="eastAsia" w:ascii="仿宋_GB2312" w:hAnsi="仿宋_GB2312" w:eastAsia="仿宋_GB2312" w:cs="仿宋_GB2312"/>
          <w:sz w:val="32"/>
          <w:szCs w:val="32"/>
        </w:rPr>
        <w:t>。</w:t>
      </w:r>
    </w:p>
    <w:p>
      <w:pPr>
        <w:snapToGrid w:val="0"/>
        <w:spacing w:line="560" w:lineRule="exact"/>
        <w:ind w:firstLine="643" w:firstLineChars="200"/>
        <w:outlineLvl w:val="1"/>
        <w:rPr>
          <w:rFonts w:ascii="楷体" w:hAnsi="楷体" w:eastAsia="楷体" w:cs="楷体_GB2312"/>
          <w:b/>
          <w:bCs/>
          <w:sz w:val="32"/>
          <w:szCs w:val="32"/>
        </w:rPr>
      </w:pPr>
      <w:bookmarkStart w:id="39" w:name="_Toc28336"/>
      <w:r>
        <w:rPr>
          <w:rFonts w:hint="eastAsia" w:ascii="楷体" w:hAnsi="楷体" w:eastAsia="楷体" w:cs="楷体_GB2312"/>
          <w:b/>
          <w:bCs/>
          <w:sz w:val="32"/>
          <w:szCs w:val="32"/>
        </w:rPr>
        <w:t>（一）填报专业名称</w:t>
      </w:r>
      <w:bookmarkEnd w:id="39"/>
    </w:p>
    <w:p>
      <w:pPr>
        <w:snapToGrid w:val="0"/>
        <w:spacing w:line="560" w:lineRule="exact"/>
        <w:ind w:firstLine="640" w:firstLineChars="200"/>
        <w:rPr>
          <w:rFonts w:ascii="仿宋_GB2312" w:hAnsi="仿宋_GB2312" w:eastAsia="仿宋_GB2312" w:cs="仿宋_GB2312"/>
          <w:sz w:val="32"/>
          <w:szCs w:val="32"/>
          <w:bdr w:val="single" w:color="auto" w:sz="4" w:space="0"/>
        </w:rPr>
      </w:pPr>
      <w:r>
        <w:rPr>
          <w:rFonts w:hint="eastAsia" w:ascii="仿宋_GB2312" w:hAnsi="仿宋_GB2312" w:eastAsia="仿宋_GB2312" w:cs="仿宋_GB2312"/>
          <w:sz w:val="32"/>
          <w:szCs w:val="32"/>
        </w:rPr>
        <w:t>报考者应严格按照所持证书（认证报告）上内容</w:t>
      </w:r>
      <w:r>
        <w:rPr>
          <w:rFonts w:hint="eastAsia" w:ascii="仿宋_GB2312" w:hAnsi="仿宋_GB2312" w:eastAsia="仿宋_GB2312" w:cs="仿宋_GB2312"/>
          <w:b/>
          <w:bCs/>
          <w:sz w:val="32"/>
          <w:szCs w:val="32"/>
          <w:u w:val="single"/>
        </w:rPr>
        <w:t>只字不差</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如实填写所学专业。其中，全日制普通教育学历所学专业以毕业证书为准，非全日制普通教育和国（境）外学历（位）以教育部学历（位）认证部门出具的认证报告为准。</w:t>
      </w:r>
    </w:p>
    <w:p>
      <w:pPr>
        <w:snapToGrid w:val="0"/>
        <w:spacing w:line="560" w:lineRule="exact"/>
        <w:ind w:firstLine="643" w:firstLineChars="200"/>
        <w:outlineLvl w:val="1"/>
        <w:rPr>
          <w:rFonts w:ascii="楷体" w:hAnsi="楷体" w:eastAsia="楷体" w:cs="楷体_GB2312"/>
          <w:b/>
          <w:bCs/>
          <w:sz w:val="32"/>
          <w:szCs w:val="32"/>
        </w:rPr>
      </w:pPr>
      <w:bookmarkStart w:id="40" w:name="_Toc25763"/>
      <w:r>
        <w:rPr>
          <w:rFonts w:hint="eastAsia" w:ascii="楷体" w:hAnsi="楷体" w:eastAsia="楷体" w:cs="楷体_GB2312"/>
          <w:b/>
          <w:bCs/>
          <w:sz w:val="32"/>
          <w:szCs w:val="32"/>
        </w:rPr>
        <w:t>（二）专业与学历（位）的对应关系</w:t>
      </w:r>
      <w:bookmarkEnd w:id="40"/>
    </w:p>
    <w:p>
      <w:pPr>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岗位所需专业与报考者的毕业证书专业应当一致，岗位资格条件要求的学历</w:t>
      </w:r>
      <w:r>
        <w:rPr>
          <w:rFonts w:ascii="仿宋_GB2312" w:eastAsia="仿宋_GB2312"/>
          <w:sz w:val="32"/>
          <w:szCs w:val="32"/>
        </w:rPr>
        <w:t>(</w:t>
      </w:r>
      <w:r>
        <w:rPr>
          <w:rFonts w:hint="eastAsia" w:ascii="仿宋_GB2312" w:eastAsia="仿宋_GB2312"/>
          <w:sz w:val="32"/>
          <w:szCs w:val="32"/>
        </w:rPr>
        <w:t>位</w:t>
      </w:r>
      <w:r>
        <w:rPr>
          <w:rFonts w:ascii="仿宋_GB2312" w:eastAsia="仿宋_GB2312"/>
          <w:sz w:val="32"/>
          <w:szCs w:val="32"/>
        </w:rPr>
        <w:t>)</w:t>
      </w:r>
      <w:r>
        <w:rPr>
          <w:rFonts w:hint="eastAsia" w:ascii="仿宋_GB2312" w:eastAsia="仿宋_GB2312"/>
          <w:sz w:val="32"/>
          <w:szCs w:val="32"/>
        </w:rPr>
        <w:t>原则上须为岗位所要求的专业对应的学历</w:t>
      </w:r>
      <w:r>
        <w:rPr>
          <w:rFonts w:ascii="仿宋_GB2312" w:eastAsia="仿宋_GB2312"/>
          <w:sz w:val="32"/>
          <w:szCs w:val="32"/>
        </w:rPr>
        <w:t>(</w:t>
      </w:r>
      <w:r>
        <w:rPr>
          <w:rFonts w:hint="eastAsia" w:ascii="仿宋_GB2312" w:eastAsia="仿宋_GB2312"/>
          <w:sz w:val="32"/>
          <w:szCs w:val="32"/>
        </w:rPr>
        <w:t>位</w:t>
      </w:r>
      <w:r>
        <w:rPr>
          <w:rFonts w:ascii="仿宋_GB2312" w:eastAsia="仿宋_GB2312"/>
          <w:sz w:val="32"/>
          <w:szCs w:val="32"/>
        </w:rPr>
        <w:t>)</w:t>
      </w:r>
      <w:r>
        <w:rPr>
          <w:rFonts w:hint="eastAsia" w:ascii="仿宋_GB2312" w:eastAsia="仿宋_GB2312"/>
          <w:sz w:val="32"/>
          <w:szCs w:val="32"/>
        </w:rPr>
        <w:t>及以上学历</w:t>
      </w:r>
      <w:r>
        <w:rPr>
          <w:rFonts w:ascii="仿宋_GB2312" w:eastAsia="仿宋_GB2312"/>
          <w:sz w:val="32"/>
          <w:szCs w:val="32"/>
        </w:rPr>
        <w:t>(</w:t>
      </w:r>
      <w:r>
        <w:rPr>
          <w:rFonts w:hint="eastAsia" w:ascii="仿宋_GB2312" w:eastAsia="仿宋_GB2312"/>
          <w:sz w:val="32"/>
          <w:szCs w:val="32"/>
        </w:rPr>
        <w:t>位</w:t>
      </w:r>
      <w:r>
        <w:rPr>
          <w:rFonts w:ascii="仿宋_GB2312" w:eastAsia="仿宋_GB2312"/>
          <w:sz w:val="32"/>
          <w:szCs w:val="32"/>
        </w:rPr>
        <w:t>)</w:t>
      </w:r>
      <w:r>
        <w:rPr>
          <w:rFonts w:hint="eastAsia" w:ascii="仿宋_GB2312" w:eastAsia="仿宋_GB2312"/>
          <w:sz w:val="32"/>
          <w:szCs w:val="32"/>
        </w:rPr>
        <w:t>，但报考者如果已符合岗位资格条件中最低学历</w:t>
      </w:r>
      <w:r>
        <w:rPr>
          <w:rFonts w:ascii="仿宋_GB2312" w:eastAsia="仿宋_GB2312"/>
          <w:sz w:val="32"/>
          <w:szCs w:val="32"/>
        </w:rPr>
        <w:t>(</w:t>
      </w:r>
      <w:r>
        <w:rPr>
          <w:rFonts w:hint="eastAsia" w:ascii="仿宋_GB2312" w:eastAsia="仿宋_GB2312"/>
          <w:sz w:val="32"/>
          <w:szCs w:val="32"/>
        </w:rPr>
        <w:t>位</w:t>
      </w:r>
      <w:r>
        <w:rPr>
          <w:rFonts w:ascii="仿宋_GB2312" w:eastAsia="仿宋_GB2312"/>
          <w:sz w:val="32"/>
          <w:szCs w:val="32"/>
        </w:rPr>
        <w:t>)</w:t>
      </w:r>
      <w:r>
        <w:rPr>
          <w:rFonts w:hint="eastAsia" w:ascii="仿宋_GB2312" w:eastAsia="仿宋_GB2312"/>
          <w:sz w:val="32"/>
          <w:szCs w:val="32"/>
        </w:rPr>
        <w:t>要求而持有岗位专业要求的同级或更高级学历或学位的，也可报考</w:t>
      </w:r>
      <w:r>
        <w:rPr>
          <w:rFonts w:hint="eastAsia" w:ascii="仿宋_GB2312" w:hAnsi="仿宋_GB2312" w:eastAsia="仿宋_GB2312" w:cs="仿宋_GB2312"/>
          <w:sz w:val="32"/>
          <w:szCs w:val="32"/>
        </w:rPr>
        <w:t>。</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例如，岗位要求本科学历、学士学位、工商管理专业。</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考生</w:t>
      </w:r>
      <w:r>
        <w:rPr>
          <w:rFonts w:ascii="仿宋_GB2312" w:eastAsia="仿宋_GB2312"/>
          <w:sz w:val="32"/>
          <w:szCs w:val="32"/>
        </w:rPr>
        <w:t>A</w:t>
      </w:r>
      <w:r>
        <w:rPr>
          <w:rFonts w:hint="eastAsia" w:ascii="仿宋_GB2312" w:eastAsia="仿宋_GB2312"/>
          <w:sz w:val="32"/>
          <w:szCs w:val="32"/>
        </w:rPr>
        <w:t>：取得英语专业本科学历、学士学位，后读取工商管理专业硕士学位（单证，无学历），该考生可报考该岗位。</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考生</w:t>
      </w:r>
      <w:r>
        <w:rPr>
          <w:rFonts w:ascii="仿宋_GB2312" w:eastAsia="仿宋_GB2312"/>
          <w:sz w:val="32"/>
          <w:szCs w:val="32"/>
        </w:rPr>
        <w:t>B</w:t>
      </w:r>
      <w:r>
        <w:rPr>
          <w:rFonts w:hint="eastAsia" w:ascii="仿宋_GB2312" w:eastAsia="仿宋_GB2312"/>
          <w:sz w:val="32"/>
          <w:szCs w:val="32"/>
        </w:rPr>
        <w:t>：取得英语专业本科学历、学士学位，后攻读工商管理专业硕士研究生（仅取得研究生学历未获硕士学位），该考生可报考该岗位。</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考生</w:t>
      </w:r>
      <w:r>
        <w:rPr>
          <w:rFonts w:ascii="仿宋_GB2312" w:eastAsia="仿宋_GB2312"/>
          <w:sz w:val="32"/>
          <w:szCs w:val="32"/>
        </w:rPr>
        <w:t>C</w:t>
      </w:r>
      <w:r>
        <w:rPr>
          <w:rFonts w:hint="eastAsia" w:ascii="仿宋_GB2312" w:eastAsia="仿宋_GB2312"/>
          <w:sz w:val="32"/>
          <w:szCs w:val="32"/>
        </w:rPr>
        <w:t>：取得英语专业本科学历、学士学位，辅修工商管理专业取得学士学位，该考生可报考该岗位。</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考生</w:t>
      </w:r>
      <w:r>
        <w:rPr>
          <w:rFonts w:ascii="仿宋_GB2312" w:eastAsia="仿宋_GB2312"/>
          <w:sz w:val="32"/>
          <w:szCs w:val="32"/>
        </w:rPr>
        <w:t>D</w:t>
      </w:r>
      <w:r>
        <w:rPr>
          <w:rFonts w:hint="eastAsia" w:ascii="仿宋_GB2312" w:eastAsia="仿宋_GB2312"/>
          <w:sz w:val="32"/>
          <w:szCs w:val="32"/>
        </w:rPr>
        <w:t>：取得英语专业本科学历、学士学位，函授工商管理专业取得本科学历，该考生可报考该岗位。</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考生</w:t>
      </w:r>
      <w:r>
        <w:rPr>
          <w:rFonts w:ascii="仿宋_GB2312" w:eastAsia="仿宋_GB2312"/>
          <w:sz w:val="32"/>
          <w:szCs w:val="32"/>
        </w:rPr>
        <w:t>E</w:t>
      </w:r>
      <w:r>
        <w:rPr>
          <w:rFonts w:hint="eastAsia" w:ascii="仿宋_GB2312" w:eastAsia="仿宋_GB2312"/>
          <w:sz w:val="32"/>
          <w:szCs w:val="32"/>
        </w:rPr>
        <w:t>：取得工商管理专业大专学历，专升本取得英语专业本科学历、学士学位，该考生不能报考该岗位。</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考生</w:t>
      </w:r>
      <w:r>
        <w:rPr>
          <w:rFonts w:ascii="仿宋_GB2312" w:eastAsia="仿宋_GB2312"/>
          <w:sz w:val="32"/>
          <w:szCs w:val="32"/>
        </w:rPr>
        <w:t>F</w:t>
      </w:r>
      <w:r>
        <w:rPr>
          <w:rFonts w:hint="eastAsia" w:ascii="仿宋_GB2312" w:eastAsia="仿宋_GB2312"/>
          <w:sz w:val="32"/>
          <w:szCs w:val="32"/>
        </w:rPr>
        <w:t>：取得英语专业本科学历（未取得学士学位），取得工商管理专业硕士学位（无学历），该考生可报考该岗位。</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考生</w:t>
      </w:r>
      <w:r>
        <w:rPr>
          <w:rFonts w:ascii="仿宋_GB2312" w:eastAsia="仿宋_GB2312"/>
          <w:sz w:val="32"/>
          <w:szCs w:val="32"/>
        </w:rPr>
        <w:t>G</w:t>
      </w:r>
      <w:r>
        <w:rPr>
          <w:rFonts w:hint="eastAsia" w:ascii="仿宋_GB2312" w:eastAsia="仿宋_GB2312"/>
          <w:sz w:val="32"/>
          <w:szCs w:val="32"/>
        </w:rPr>
        <w:t>：取得英语专业本科学历、学士学位，工商管理专业肄业，该考生不能报考该岗位</w:t>
      </w:r>
      <w:r>
        <w:rPr>
          <w:rFonts w:hint="eastAsia" w:ascii="仿宋_GB2312" w:hAnsi="仿宋_GB2312" w:eastAsia="仿宋_GB2312" w:cs="仿宋_GB2312"/>
          <w:sz w:val="32"/>
          <w:szCs w:val="32"/>
        </w:rPr>
        <w:t>。</w:t>
      </w:r>
    </w:p>
    <w:p>
      <w:pPr>
        <w:snapToGrid w:val="0"/>
        <w:spacing w:line="560" w:lineRule="exact"/>
        <w:ind w:firstLine="643" w:firstLineChars="200"/>
        <w:outlineLvl w:val="1"/>
        <w:rPr>
          <w:rFonts w:ascii="楷体" w:hAnsi="楷体" w:eastAsia="楷体" w:cs="楷体_GB2312"/>
          <w:b/>
          <w:sz w:val="32"/>
          <w:szCs w:val="32"/>
        </w:rPr>
      </w:pPr>
      <w:bookmarkStart w:id="41" w:name="_Toc9266"/>
      <w:r>
        <w:rPr>
          <w:rFonts w:hint="eastAsia" w:ascii="楷体" w:hAnsi="楷体" w:eastAsia="楷体" w:cs="楷体_GB2312"/>
          <w:b/>
          <w:sz w:val="32"/>
          <w:szCs w:val="32"/>
        </w:rPr>
        <w:t>（三）专业资格的认定</w:t>
      </w:r>
      <w:bookmarkEnd w:id="41"/>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将专业条件设置为“××类”的招聘岗位，报考者所学专业须符合《专业指导目录》中“××类”下所列专业；将专业条件设置为具体专业名称的，报考者所学专业须符合所列专业。</w:t>
      </w:r>
    </w:p>
    <w:p>
      <w:pPr>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专业要求“临床医学”专业的，含“临床医学”或“临床医学硕士”或“临床医学博士”，其他专业以此类推。</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若报考者所学专业不在《专业指导目录》中，报考者须提供学历证、学位证、主干课程成绩表、论文发表情况、学校证明等有效凭证，由招聘单位会同主管部门负责认定。报考者所学专业只字不差体现在《专业指导目录》中，但未列入招聘岗位所要求的专业，不得报考该岗位。</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经与招聘单位沟通，若报考者对专业资格审查结果仍有异议的，可在规定期限内及时通过“报名系统”的申诉通道提出申诉。</w:t>
      </w:r>
    </w:p>
    <w:p>
      <w:pPr>
        <w:snapToGrid w:val="0"/>
        <w:spacing w:line="560" w:lineRule="exact"/>
        <w:ind w:firstLine="640" w:firstLineChars="200"/>
        <w:outlineLvl w:val="1"/>
        <w:rPr>
          <w:rFonts w:ascii="黑体" w:hAnsi="黑体" w:eastAsia="黑体" w:cs="黑体"/>
          <w:bCs/>
          <w:sz w:val="32"/>
          <w:szCs w:val="32"/>
        </w:rPr>
      </w:pPr>
      <w:bookmarkStart w:id="42" w:name="_Toc70495082"/>
      <w:bookmarkStart w:id="43" w:name="_Toc5825"/>
      <w:r>
        <w:rPr>
          <w:rFonts w:hint="eastAsia" w:ascii="黑体" w:hAnsi="黑体" w:eastAsia="黑体" w:cs="黑体"/>
          <w:bCs/>
          <w:sz w:val="32"/>
          <w:szCs w:val="32"/>
        </w:rPr>
        <w:t>七、岗位开考比例</w:t>
      </w:r>
      <w:bookmarkEnd w:id="42"/>
      <w:bookmarkEnd w:id="43"/>
    </w:p>
    <w:p>
      <w:pPr>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符合岗位资格条件的报名人数（指通过网上报名资格初审的人数）与岗位拟聘人数比例达不到</w:t>
      </w:r>
      <w:r>
        <w:rPr>
          <w:rFonts w:ascii="仿宋_GB2312" w:eastAsia="仿宋_GB2312"/>
          <w:sz w:val="32"/>
          <w:szCs w:val="32"/>
        </w:rPr>
        <w:t>3:1</w:t>
      </w:r>
      <w:r>
        <w:rPr>
          <w:rFonts w:hint="eastAsia" w:ascii="仿宋_GB2312" w:eastAsia="仿宋_GB2312"/>
          <w:sz w:val="32"/>
          <w:szCs w:val="32"/>
        </w:rPr>
        <w:t>的，原则上应相应减少招聘人数或取消开考</w:t>
      </w:r>
      <w:r>
        <w:rPr>
          <w:rFonts w:hint="eastAsia" w:ascii="仿宋_GB2312" w:hAnsi="仿宋_GB2312" w:eastAsia="仿宋_GB2312" w:cs="仿宋_GB2312"/>
          <w:sz w:val="32"/>
          <w:szCs w:val="32"/>
        </w:rPr>
        <w:t>。</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要求取消开考、减少招聘人数的岗位由招聘单位及其主管部门研究提出意见，经区人社局同意并报备市人社局后在考务信息通知平台另行公告。情况特殊确需降低开考比例的岗位，由招聘单位及其主管部门研究提出意见，经区人社局同意并报市人社局批准后在考务信息通知平台另行公告。</w:t>
      </w:r>
    </w:p>
    <w:p>
      <w:pPr>
        <w:snapToGrid w:val="0"/>
        <w:spacing w:line="560" w:lineRule="exact"/>
        <w:ind w:firstLine="640" w:firstLineChars="200"/>
        <w:outlineLvl w:val="0"/>
        <w:rPr>
          <w:rFonts w:ascii="黑体" w:hAnsi="黑体" w:eastAsia="黑体" w:cs="黑体"/>
          <w:bCs/>
          <w:sz w:val="32"/>
          <w:szCs w:val="32"/>
        </w:rPr>
      </w:pPr>
      <w:bookmarkStart w:id="44" w:name="_Toc11022"/>
      <w:r>
        <w:rPr>
          <w:rFonts w:hint="eastAsia" w:ascii="黑体" w:hAnsi="黑体" w:eastAsia="黑体" w:cs="黑体"/>
          <w:bCs/>
          <w:sz w:val="32"/>
          <w:szCs w:val="32"/>
        </w:rPr>
        <w:t>八、笔试加分</w:t>
      </w:r>
      <w:bookmarkEnd w:id="44"/>
    </w:p>
    <w:p>
      <w:pPr>
        <w:snapToGrid w:val="0"/>
        <w:spacing w:line="560" w:lineRule="exact"/>
        <w:ind w:firstLine="643" w:firstLineChars="200"/>
        <w:outlineLvl w:val="1"/>
        <w:rPr>
          <w:rFonts w:ascii="楷体" w:hAnsi="楷体" w:eastAsia="楷体" w:cs="楷体_GB2312"/>
          <w:b/>
          <w:sz w:val="32"/>
          <w:szCs w:val="32"/>
        </w:rPr>
      </w:pPr>
      <w:bookmarkStart w:id="45" w:name="_Toc27429"/>
      <w:r>
        <w:rPr>
          <w:rFonts w:hint="eastAsia" w:ascii="楷体" w:hAnsi="楷体" w:eastAsia="楷体" w:cs="楷体_GB2312"/>
          <w:b/>
          <w:sz w:val="32"/>
          <w:szCs w:val="32"/>
        </w:rPr>
        <w:t>（一）加分原则</w:t>
      </w:r>
      <w:bookmarkEnd w:id="45"/>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笔试成绩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笔试卷面分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各项加分。</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加分仅限于笔试卷面分，加分不受笔试满分限制。</w:t>
      </w:r>
      <w:r>
        <w:rPr>
          <w:rFonts w:hint="eastAsia" w:ascii="仿宋_GB2312" w:eastAsia="仿宋_GB2312"/>
          <w:b/>
          <w:bCs/>
          <w:sz w:val="32"/>
          <w:szCs w:val="32"/>
        </w:rPr>
        <w:t>各项加分可累计计算，但累计最高不超过</w:t>
      </w:r>
      <w:r>
        <w:rPr>
          <w:rFonts w:ascii="仿宋_GB2312" w:eastAsia="仿宋_GB2312"/>
          <w:b/>
          <w:bCs/>
          <w:sz w:val="32"/>
          <w:szCs w:val="32"/>
        </w:rPr>
        <w:t>10</w:t>
      </w:r>
      <w:r>
        <w:rPr>
          <w:rFonts w:hint="eastAsia" w:ascii="仿宋_GB2312" w:eastAsia="仿宋_GB2312"/>
          <w:b/>
          <w:bCs/>
          <w:sz w:val="32"/>
          <w:szCs w:val="32"/>
        </w:rPr>
        <w:t>分。</w:t>
      </w:r>
      <w:r>
        <w:rPr>
          <w:rFonts w:hint="eastAsia" w:ascii="仿宋_GB2312" w:eastAsia="仿宋_GB2312"/>
          <w:sz w:val="32"/>
          <w:szCs w:val="32"/>
        </w:rPr>
        <w:t>曾通过享受政策待遇被录（聘）为公务员或事业单位编内工作人员的，不再享受相应项目的加分</w:t>
      </w:r>
      <w:r>
        <w:rPr>
          <w:rFonts w:hint="eastAsia" w:ascii="仿宋_GB2312" w:hAnsi="仿宋_GB2312" w:eastAsia="仿宋_GB2312" w:cs="仿宋_GB2312"/>
          <w:sz w:val="32"/>
          <w:szCs w:val="32"/>
        </w:rPr>
        <w:t>。</w:t>
      </w:r>
    </w:p>
    <w:p>
      <w:pPr>
        <w:snapToGrid w:val="0"/>
        <w:spacing w:line="560" w:lineRule="exact"/>
        <w:ind w:firstLine="643" w:firstLineChars="200"/>
        <w:outlineLvl w:val="1"/>
        <w:rPr>
          <w:rFonts w:ascii="楷体" w:hAnsi="楷体" w:eastAsia="楷体" w:cs="楷体_GB2312"/>
          <w:b/>
          <w:sz w:val="32"/>
          <w:szCs w:val="32"/>
        </w:rPr>
      </w:pPr>
      <w:bookmarkStart w:id="46" w:name="_Toc12570"/>
      <w:r>
        <w:rPr>
          <w:rFonts w:hint="eastAsia" w:ascii="楷体" w:hAnsi="楷体" w:eastAsia="楷体" w:cs="楷体_GB2312"/>
          <w:b/>
          <w:sz w:val="32"/>
          <w:szCs w:val="32"/>
        </w:rPr>
        <w:t>（二）加分对象</w:t>
      </w:r>
      <w:bookmarkEnd w:id="46"/>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经报名资格审核通过并符合以下加分政策的报考人员可享受笔试加分待遇：</w:t>
      </w:r>
    </w:p>
    <w:p>
      <w:pPr>
        <w:spacing w:line="560" w:lineRule="exact"/>
        <w:ind w:firstLine="643" w:firstLineChars="200"/>
        <w:outlineLvl w:val="2"/>
        <w:rPr>
          <w:rFonts w:ascii="仿宋_GB2312" w:hAnsi="仿宋_GB2312" w:eastAsia="仿宋_GB2312" w:cs="仿宋_GB2312"/>
          <w:b/>
          <w:bCs/>
          <w:sz w:val="32"/>
          <w:szCs w:val="32"/>
        </w:rPr>
      </w:pPr>
      <w:bookmarkStart w:id="47" w:name="_Toc5380"/>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服务基层项目高校毕业人员</w:t>
      </w:r>
      <w:bookmarkEnd w:id="47"/>
    </w:p>
    <w:p>
      <w:pPr>
        <w:spacing w:line="560" w:lineRule="exact"/>
        <w:ind w:firstLine="640" w:firstLineChars="200"/>
        <w:rPr>
          <w:rFonts w:ascii="仿宋_GB2312" w:eastAsia="仿宋_GB2312"/>
          <w:sz w:val="32"/>
          <w:szCs w:val="32"/>
        </w:rPr>
      </w:pPr>
      <w:r>
        <w:rPr>
          <w:rFonts w:hint="eastAsia" w:ascii="仿宋_GB2312" w:eastAsia="仿宋_GB2312"/>
          <w:sz w:val="32"/>
          <w:szCs w:val="32"/>
        </w:rPr>
        <w:t>参加国家和福建省组织实施的“三支一扶”计划、“志愿服务西部计划”（含研究生支教团）、“志愿服务欠发达地区计划”和“服务社区计划”等，服务期限为</w:t>
      </w:r>
      <w:r>
        <w:rPr>
          <w:rFonts w:ascii="仿宋_GB2312" w:eastAsia="仿宋_GB2312"/>
          <w:sz w:val="32"/>
          <w:szCs w:val="32"/>
        </w:rPr>
        <w:t>1</w:t>
      </w:r>
      <w:r>
        <w:rPr>
          <w:rFonts w:hint="eastAsia" w:ascii="仿宋_GB2312" w:eastAsia="仿宋_GB2312"/>
          <w:sz w:val="32"/>
          <w:szCs w:val="32"/>
        </w:rPr>
        <w:t>年及以上且于</w:t>
      </w:r>
      <w:r>
        <w:rPr>
          <w:rFonts w:ascii="仿宋_GB2312" w:eastAsia="仿宋_GB2312"/>
          <w:sz w:val="32"/>
          <w:szCs w:val="32"/>
        </w:rPr>
        <w:t>2022</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日前期满考核合格的福建户籍或福建生源高校毕业人员：服务期限</w:t>
      </w:r>
      <w:r>
        <w:rPr>
          <w:rFonts w:ascii="仿宋_GB2312" w:eastAsia="仿宋_GB2312"/>
          <w:sz w:val="32"/>
          <w:szCs w:val="32"/>
        </w:rPr>
        <w:t>2</w:t>
      </w:r>
      <w:r>
        <w:rPr>
          <w:rFonts w:hint="eastAsia" w:ascii="仿宋_GB2312" w:eastAsia="仿宋_GB2312"/>
          <w:sz w:val="32"/>
          <w:szCs w:val="32"/>
        </w:rPr>
        <w:t>年及以上且期满考核合格的服务基层项目毕业生，笔试卷面分加</w:t>
      </w:r>
      <w:r>
        <w:rPr>
          <w:rFonts w:ascii="仿宋_GB2312" w:eastAsia="仿宋_GB2312"/>
          <w:sz w:val="32"/>
          <w:szCs w:val="32"/>
        </w:rPr>
        <w:t>5</w:t>
      </w:r>
      <w:r>
        <w:rPr>
          <w:rFonts w:hint="eastAsia" w:ascii="仿宋_GB2312" w:eastAsia="仿宋_GB2312"/>
          <w:sz w:val="32"/>
          <w:szCs w:val="32"/>
        </w:rPr>
        <w:t>分；服务期限</w:t>
      </w:r>
      <w:r>
        <w:rPr>
          <w:rFonts w:ascii="仿宋_GB2312" w:eastAsia="仿宋_GB2312"/>
          <w:sz w:val="32"/>
          <w:szCs w:val="32"/>
        </w:rPr>
        <w:t>1</w:t>
      </w:r>
      <w:r>
        <w:rPr>
          <w:rFonts w:hint="eastAsia" w:ascii="仿宋_GB2312" w:eastAsia="仿宋_GB2312"/>
          <w:sz w:val="32"/>
          <w:szCs w:val="32"/>
        </w:rPr>
        <w:t>年及以上不满</w:t>
      </w:r>
      <w:r>
        <w:rPr>
          <w:rFonts w:ascii="仿宋_GB2312" w:eastAsia="仿宋_GB2312"/>
          <w:sz w:val="32"/>
          <w:szCs w:val="32"/>
        </w:rPr>
        <w:t>2</w:t>
      </w:r>
      <w:r>
        <w:rPr>
          <w:rFonts w:hint="eastAsia" w:ascii="仿宋_GB2312" w:eastAsia="仿宋_GB2312"/>
          <w:sz w:val="32"/>
          <w:szCs w:val="32"/>
        </w:rPr>
        <w:t>年且期满考核合格的服务基层项目毕业生，笔试卷面分加</w:t>
      </w:r>
      <w:r>
        <w:rPr>
          <w:rFonts w:ascii="仿宋_GB2312" w:eastAsia="仿宋_GB2312"/>
          <w:sz w:val="32"/>
          <w:szCs w:val="32"/>
        </w:rPr>
        <w:t>5</w:t>
      </w:r>
      <w:r>
        <w:rPr>
          <w:rFonts w:hint="eastAsia" w:ascii="仿宋_GB2312" w:eastAsia="仿宋_GB2312"/>
          <w:sz w:val="32"/>
          <w:szCs w:val="32"/>
        </w:rPr>
        <w:t>分。</w:t>
      </w:r>
      <w:r>
        <w:rPr>
          <w:rFonts w:ascii="仿宋_GB2312" w:eastAsia="仿宋_GB2312"/>
          <w:sz w:val="32"/>
          <w:szCs w:val="32"/>
        </w:rPr>
        <w:t xml:space="preserve"> </w:t>
      </w:r>
    </w:p>
    <w:p>
      <w:pPr>
        <w:spacing w:line="560" w:lineRule="exact"/>
        <w:ind w:firstLine="643" w:firstLineChars="200"/>
        <w:outlineLvl w:val="2"/>
        <w:rPr>
          <w:rFonts w:ascii="仿宋_GB2312" w:hAnsi="仿宋_GB2312" w:eastAsia="仿宋_GB2312" w:cs="仿宋_GB2312"/>
          <w:b/>
          <w:bCs/>
          <w:sz w:val="32"/>
          <w:szCs w:val="32"/>
        </w:rPr>
      </w:pPr>
      <w:bookmarkStart w:id="48" w:name="_Toc12368"/>
      <w:bookmarkStart w:id="49" w:name="_Toc3463"/>
      <w:bookmarkStart w:id="50" w:name="_Toc1747"/>
      <w:bookmarkStart w:id="51" w:name="_Toc22049"/>
      <w:bookmarkStart w:id="52" w:name="_Toc24980"/>
      <w:bookmarkStart w:id="53" w:name="_Toc11927"/>
      <w:bookmarkStart w:id="54" w:name="_Toc23253"/>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退役士兵（含大学生退役士兵）</w:t>
      </w:r>
      <w:bookmarkEnd w:id="48"/>
      <w:bookmarkEnd w:id="49"/>
      <w:bookmarkEnd w:id="50"/>
      <w:bookmarkEnd w:id="51"/>
      <w:bookmarkEnd w:id="52"/>
      <w:bookmarkEnd w:id="53"/>
      <w:bookmarkEnd w:id="54"/>
    </w:p>
    <w:p>
      <w:pPr>
        <w:spacing w:line="560" w:lineRule="exact"/>
        <w:ind w:firstLine="640" w:firstLineChars="200"/>
        <w:rPr>
          <w:rFonts w:ascii="仿宋_GB2312" w:eastAsia="仿宋_GB2312"/>
          <w:sz w:val="32"/>
          <w:szCs w:val="32"/>
        </w:rPr>
      </w:pPr>
      <w:r>
        <w:rPr>
          <w:rFonts w:hint="eastAsia" w:ascii="仿宋_GB2312" w:eastAsia="仿宋_GB2312"/>
          <w:sz w:val="32"/>
          <w:szCs w:val="32"/>
        </w:rPr>
        <w:t>由福建省兵役机关批准入伍或福建生源的退役士兵（在福建省外应征入伍，但已于报名截止日前取得福建户籍的可参照），可享受以下笔试卷面分加分：服役满</w:t>
      </w:r>
      <w:r>
        <w:rPr>
          <w:rFonts w:ascii="仿宋_GB2312" w:eastAsia="仿宋_GB2312"/>
          <w:sz w:val="32"/>
          <w:szCs w:val="32"/>
        </w:rPr>
        <w:t>13</w:t>
      </w:r>
      <w:r>
        <w:rPr>
          <w:rFonts w:hint="eastAsia" w:ascii="仿宋_GB2312" w:eastAsia="仿宋_GB2312"/>
          <w:sz w:val="32"/>
          <w:szCs w:val="32"/>
        </w:rPr>
        <w:t>年以上的加</w:t>
      </w:r>
      <w:r>
        <w:rPr>
          <w:rFonts w:ascii="仿宋_GB2312" w:eastAsia="仿宋_GB2312"/>
          <w:sz w:val="32"/>
          <w:szCs w:val="32"/>
        </w:rPr>
        <w:t>8</w:t>
      </w:r>
      <w:r>
        <w:rPr>
          <w:rFonts w:hint="eastAsia" w:ascii="仿宋_GB2312" w:eastAsia="仿宋_GB2312"/>
          <w:sz w:val="32"/>
          <w:szCs w:val="32"/>
        </w:rPr>
        <w:t>分</w:t>
      </w:r>
      <w:r>
        <w:rPr>
          <w:rFonts w:ascii="仿宋_GB2312" w:eastAsia="仿宋_GB2312"/>
          <w:sz w:val="32"/>
          <w:szCs w:val="32"/>
        </w:rPr>
        <w:t>;</w:t>
      </w:r>
      <w:r>
        <w:rPr>
          <w:rFonts w:hint="eastAsia" w:ascii="仿宋_GB2312" w:eastAsia="仿宋_GB2312"/>
          <w:sz w:val="32"/>
          <w:szCs w:val="32"/>
        </w:rPr>
        <w:t>服役满</w:t>
      </w:r>
      <w:r>
        <w:rPr>
          <w:rFonts w:ascii="仿宋_GB2312" w:eastAsia="仿宋_GB2312"/>
          <w:sz w:val="32"/>
          <w:szCs w:val="32"/>
        </w:rPr>
        <w:t>9</w:t>
      </w:r>
      <w:r>
        <w:rPr>
          <w:rFonts w:hint="eastAsia" w:ascii="仿宋_GB2312" w:eastAsia="仿宋_GB2312"/>
          <w:sz w:val="32"/>
          <w:szCs w:val="32"/>
        </w:rPr>
        <w:t>年至</w:t>
      </w:r>
      <w:r>
        <w:rPr>
          <w:rFonts w:ascii="仿宋_GB2312" w:eastAsia="仿宋_GB2312"/>
          <w:sz w:val="32"/>
          <w:szCs w:val="32"/>
        </w:rPr>
        <w:t>12</w:t>
      </w:r>
      <w:r>
        <w:rPr>
          <w:rFonts w:hint="eastAsia" w:ascii="仿宋_GB2312" w:eastAsia="仿宋_GB2312"/>
          <w:sz w:val="32"/>
          <w:szCs w:val="32"/>
        </w:rPr>
        <w:t>年的加</w:t>
      </w:r>
      <w:r>
        <w:rPr>
          <w:rFonts w:ascii="仿宋_GB2312" w:eastAsia="仿宋_GB2312"/>
          <w:sz w:val="32"/>
          <w:szCs w:val="32"/>
        </w:rPr>
        <w:t>6</w:t>
      </w:r>
      <w:r>
        <w:rPr>
          <w:rFonts w:hint="eastAsia" w:ascii="仿宋_GB2312" w:eastAsia="仿宋_GB2312"/>
          <w:sz w:val="32"/>
          <w:szCs w:val="32"/>
        </w:rPr>
        <w:t>分</w:t>
      </w:r>
      <w:r>
        <w:rPr>
          <w:rFonts w:ascii="仿宋_GB2312" w:eastAsia="仿宋_GB2312"/>
          <w:sz w:val="32"/>
          <w:szCs w:val="32"/>
        </w:rPr>
        <w:t>;</w:t>
      </w:r>
      <w:r>
        <w:rPr>
          <w:rFonts w:hint="eastAsia" w:ascii="仿宋_GB2312" w:eastAsia="仿宋_GB2312"/>
          <w:sz w:val="32"/>
          <w:szCs w:val="32"/>
        </w:rPr>
        <w:t>服役满</w:t>
      </w:r>
      <w:r>
        <w:rPr>
          <w:rFonts w:ascii="仿宋_GB2312" w:eastAsia="仿宋_GB2312"/>
          <w:sz w:val="32"/>
          <w:szCs w:val="32"/>
        </w:rPr>
        <w:t>6</w:t>
      </w:r>
      <w:r>
        <w:rPr>
          <w:rFonts w:hint="eastAsia" w:ascii="仿宋_GB2312" w:eastAsia="仿宋_GB2312"/>
          <w:sz w:val="32"/>
          <w:szCs w:val="32"/>
        </w:rPr>
        <w:t>年至</w:t>
      </w:r>
      <w:r>
        <w:rPr>
          <w:rFonts w:ascii="仿宋_GB2312" w:eastAsia="仿宋_GB2312"/>
          <w:sz w:val="32"/>
          <w:szCs w:val="32"/>
        </w:rPr>
        <w:t>8</w:t>
      </w:r>
      <w:r>
        <w:rPr>
          <w:rFonts w:hint="eastAsia" w:ascii="仿宋_GB2312" w:eastAsia="仿宋_GB2312"/>
          <w:sz w:val="32"/>
          <w:szCs w:val="32"/>
        </w:rPr>
        <w:t>年的加</w:t>
      </w:r>
      <w:r>
        <w:rPr>
          <w:rFonts w:ascii="仿宋_GB2312" w:eastAsia="仿宋_GB2312"/>
          <w:sz w:val="32"/>
          <w:szCs w:val="32"/>
        </w:rPr>
        <w:t>4</w:t>
      </w:r>
      <w:r>
        <w:rPr>
          <w:rFonts w:hint="eastAsia" w:ascii="仿宋_GB2312" w:eastAsia="仿宋_GB2312"/>
          <w:sz w:val="32"/>
          <w:szCs w:val="32"/>
        </w:rPr>
        <w:t>分</w:t>
      </w:r>
      <w:r>
        <w:rPr>
          <w:rFonts w:ascii="仿宋_GB2312" w:eastAsia="仿宋_GB2312"/>
          <w:sz w:val="32"/>
          <w:szCs w:val="32"/>
        </w:rPr>
        <w:t>;</w:t>
      </w:r>
      <w:r>
        <w:rPr>
          <w:rFonts w:hint="eastAsia" w:ascii="仿宋_GB2312" w:eastAsia="仿宋_GB2312"/>
          <w:sz w:val="32"/>
          <w:szCs w:val="32"/>
        </w:rPr>
        <w:t>服役满</w:t>
      </w:r>
      <w:r>
        <w:rPr>
          <w:rFonts w:ascii="仿宋_GB2312" w:eastAsia="仿宋_GB2312"/>
          <w:sz w:val="32"/>
          <w:szCs w:val="32"/>
        </w:rPr>
        <w:t>3</w:t>
      </w:r>
      <w:r>
        <w:rPr>
          <w:rFonts w:hint="eastAsia" w:ascii="仿宋_GB2312" w:eastAsia="仿宋_GB2312"/>
          <w:sz w:val="32"/>
          <w:szCs w:val="32"/>
        </w:rPr>
        <w:t>年至</w:t>
      </w:r>
      <w:r>
        <w:rPr>
          <w:rFonts w:ascii="仿宋_GB2312" w:eastAsia="仿宋_GB2312"/>
          <w:sz w:val="32"/>
          <w:szCs w:val="32"/>
        </w:rPr>
        <w:t>5</w:t>
      </w:r>
      <w:r>
        <w:rPr>
          <w:rFonts w:hint="eastAsia" w:ascii="仿宋_GB2312" w:eastAsia="仿宋_GB2312"/>
          <w:sz w:val="32"/>
          <w:szCs w:val="32"/>
        </w:rPr>
        <w:t>年的加</w:t>
      </w:r>
      <w:r>
        <w:rPr>
          <w:rFonts w:ascii="仿宋_GB2312" w:eastAsia="仿宋_GB2312"/>
          <w:sz w:val="32"/>
          <w:szCs w:val="32"/>
        </w:rPr>
        <w:t>2</w:t>
      </w:r>
      <w:r>
        <w:rPr>
          <w:rFonts w:hint="eastAsia" w:ascii="仿宋_GB2312" w:eastAsia="仿宋_GB2312"/>
          <w:sz w:val="32"/>
          <w:szCs w:val="32"/>
        </w:rPr>
        <w:t>分</w:t>
      </w:r>
      <w:r>
        <w:rPr>
          <w:rFonts w:ascii="仿宋_GB2312" w:eastAsia="仿宋_GB2312"/>
          <w:sz w:val="32"/>
          <w:szCs w:val="32"/>
        </w:rPr>
        <w:t>;</w:t>
      </w:r>
      <w:r>
        <w:rPr>
          <w:rFonts w:hint="eastAsia" w:ascii="仿宋_GB2312" w:eastAsia="仿宋_GB2312"/>
          <w:sz w:val="32"/>
          <w:szCs w:val="32"/>
        </w:rPr>
        <w:t>荣立二等功及以上的另加</w:t>
      </w:r>
      <w:r>
        <w:rPr>
          <w:rFonts w:ascii="仿宋_GB2312" w:eastAsia="仿宋_GB2312"/>
          <w:sz w:val="32"/>
          <w:szCs w:val="32"/>
        </w:rPr>
        <w:t>3</w:t>
      </w:r>
      <w:r>
        <w:rPr>
          <w:rFonts w:hint="eastAsia" w:ascii="仿宋_GB2312" w:eastAsia="仿宋_GB2312"/>
          <w:sz w:val="32"/>
          <w:szCs w:val="32"/>
        </w:rPr>
        <w:t>分</w:t>
      </w:r>
      <w:r>
        <w:rPr>
          <w:rFonts w:ascii="仿宋_GB2312" w:eastAsia="仿宋_GB2312"/>
          <w:sz w:val="32"/>
          <w:szCs w:val="32"/>
        </w:rPr>
        <w:t>/</w:t>
      </w:r>
      <w:r>
        <w:rPr>
          <w:rFonts w:hint="eastAsia" w:ascii="仿宋_GB2312" w:eastAsia="仿宋_GB2312"/>
          <w:sz w:val="32"/>
          <w:szCs w:val="32"/>
        </w:rPr>
        <w:t>次</w:t>
      </w:r>
      <w:r>
        <w:rPr>
          <w:rFonts w:ascii="仿宋_GB2312" w:eastAsia="仿宋_GB2312"/>
          <w:sz w:val="32"/>
          <w:szCs w:val="32"/>
        </w:rPr>
        <w:t>;</w:t>
      </w:r>
      <w:r>
        <w:rPr>
          <w:rFonts w:hint="eastAsia" w:ascii="仿宋_GB2312" w:eastAsia="仿宋_GB2312"/>
          <w:sz w:val="32"/>
          <w:szCs w:val="32"/>
        </w:rPr>
        <w:t>荣立三等功的另加</w:t>
      </w:r>
      <w:r>
        <w:rPr>
          <w:rFonts w:ascii="仿宋_GB2312" w:eastAsia="仿宋_GB2312"/>
          <w:sz w:val="32"/>
          <w:szCs w:val="32"/>
        </w:rPr>
        <w:t>2</w:t>
      </w:r>
      <w:r>
        <w:rPr>
          <w:rFonts w:hint="eastAsia" w:ascii="仿宋_GB2312" w:eastAsia="仿宋_GB2312"/>
          <w:sz w:val="32"/>
          <w:szCs w:val="32"/>
        </w:rPr>
        <w:t>分</w:t>
      </w:r>
      <w:r>
        <w:rPr>
          <w:rFonts w:ascii="仿宋_GB2312" w:eastAsia="仿宋_GB2312"/>
          <w:sz w:val="32"/>
          <w:szCs w:val="32"/>
        </w:rPr>
        <w:t>/</w:t>
      </w:r>
      <w:r>
        <w:rPr>
          <w:rFonts w:hint="eastAsia" w:ascii="仿宋_GB2312" w:eastAsia="仿宋_GB2312"/>
          <w:sz w:val="32"/>
          <w:szCs w:val="32"/>
        </w:rPr>
        <w:t>次</w:t>
      </w:r>
      <w:r>
        <w:rPr>
          <w:rFonts w:ascii="仿宋_GB2312" w:eastAsia="仿宋_GB2312"/>
          <w:sz w:val="32"/>
          <w:szCs w:val="32"/>
        </w:rPr>
        <w:t>;</w:t>
      </w:r>
      <w:r>
        <w:rPr>
          <w:rFonts w:hint="eastAsia" w:ascii="仿宋_GB2312" w:eastAsia="仿宋_GB2312"/>
          <w:sz w:val="32"/>
          <w:szCs w:val="32"/>
        </w:rPr>
        <w:t>获得优秀士官或优秀士兵或优秀义务兵荣誉称号的另加</w:t>
      </w:r>
      <w:r>
        <w:rPr>
          <w:rFonts w:ascii="仿宋_GB2312" w:eastAsia="仿宋_GB2312"/>
          <w:sz w:val="32"/>
          <w:szCs w:val="32"/>
        </w:rPr>
        <w:t>1</w:t>
      </w:r>
      <w:r>
        <w:rPr>
          <w:rFonts w:hint="eastAsia" w:ascii="仿宋_GB2312" w:eastAsia="仿宋_GB2312"/>
          <w:sz w:val="32"/>
          <w:szCs w:val="32"/>
        </w:rPr>
        <w:t>分</w:t>
      </w:r>
      <w:r>
        <w:rPr>
          <w:rFonts w:ascii="仿宋_GB2312" w:eastAsia="仿宋_GB2312"/>
          <w:sz w:val="32"/>
          <w:szCs w:val="32"/>
        </w:rPr>
        <w:t>/</w:t>
      </w:r>
      <w:r>
        <w:rPr>
          <w:rFonts w:hint="eastAsia" w:ascii="仿宋_GB2312" w:eastAsia="仿宋_GB2312"/>
          <w:sz w:val="32"/>
          <w:szCs w:val="32"/>
        </w:rPr>
        <w:t>次</w:t>
      </w:r>
      <w:r>
        <w:rPr>
          <w:rFonts w:ascii="仿宋_GB2312" w:eastAsia="仿宋_GB2312"/>
          <w:sz w:val="32"/>
          <w:szCs w:val="32"/>
        </w:rPr>
        <w:t>;</w:t>
      </w:r>
      <w:r>
        <w:rPr>
          <w:rFonts w:hint="eastAsia" w:ascii="仿宋_GB2312" w:eastAsia="仿宋_GB2312"/>
          <w:sz w:val="32"/>
          <w:szCs w:val="32"/>
        </w:rPr>
        <w:t>伤残士兵另加</w:t>
      </w:r>
      <w:r>
        <w:rPr>
          <w:rFonts w:ascii="仿宋_GB2312" w:eastAsia="仿宋_GB2312"/>
          <w:sz w:val="32"/>
          <w:szCs w:val="32"/>
        </w:rPr>
        <w:t>3</w:t>
      </w:r>
      <w:r>
        <w:rPr>
          <w:rFonts w:hint="eastAsia" w:ascii="仿宋_GB2312" w:eastAsia="仿宋_GB2312"/>
          <w:sz w:val="32"/>
          <w:szCs w:val="32"/>
        </w:rPr>
        <w:t>分</w:t>
      </w:r>
      <w:r>
        <w:rPr>
          <w:rFonts w:ascii="仿宋_GB2312" w:eastAsia="仿宋_GB2312"/>
          <w:sz w:val="32"/>
          <w:szCs w:val="32"/>
        </w:rPr>
        <w:t>;</w:t>
      </w:r>
      <w:r>
        <w:rPr>
          <w:rFonts w:hint="eastAsia" w:ascii="仿宋_GB2312" w:eastAsia="仿宋_GB2312"/>
          <w:sz w:val="32"/>
          <w:szCs w:val="32"/>
        </w:rPr>
        <w:t>对在边防、高原、海岛等艰苦地区或从事飞行、舰艇工作</w:t>
      </w:r>
      <w:r>
        <w:rPr>
          <w:rFonts w:ascii="仿宋_GB2312" w:eastAsia="仿宋_GB2312"/>
          <w:sz w:val="32"/>
          <w:szCs w:val="32"/>
        </w:rPr>
        <w:t>5</w:t>
      </w:r>
      <w:r>
        <w:rPr>
          <w:rFonts w:hint="eastAsia" w:ascii="仿宋_GB2312" w:eastAsia="仿宋_GB2312"/>
          <w:sz w:val="32"/>
          <w:szCs w:val="32"/>
        </w:rPr>
        <w:t>年及以上的，除享受以上加分外可再加</w:t>
      </w:r>
      <w:r>
        <w:rPr>
          <w:rFonts w:ascii="仿宋_GB2312" w:eastAsia="仿宋_GB2312"/>
          <w:sz w:val="32"/>
          <w:szCs w:val="32"/>
        </w:rPr>
        <w:t>3</w:t>
      </w:r>
      <w:r>
        <w:rPr>
          <w:rFonts w:hint="eastAsia" w:ascii="仿宋_GB2312" w:eastAsia="仿宋_GB2312"/>
          <w:sz w:val="32"/>
          <w:szCs w:val="32"/>
        </w:rPr>
        <w:t>分；全日制普通教育大专以上学历学生在校期间应征入伍且退役后继续完成学业的，毕业后加</w:t>
      </w:r>
      <w:r>
        <w:rPr>
          <w:rFonts w:ascii="仿宋_GB2312" w:eastAsia="仿宋_GB2312"/>
          <w:sz w:val="32"/>
          <w:szCs w:val="32"/>
        </w:rPr>
        <w:t>5</w:t>
      </w:r>
      <w:r>
        <w:rPr>
          <w:rFonts w:hint="eastAsia" w:ascii="仿宋_GB2312" w:eastAsia="仿宋_GB2312"/>
          <w:sz w:val="32"/>
          <w:szCs w:val="32"/>
        </w:rPr>
        <w:t>分；全日制普通教育大专以上学历毕业生应征入伍的，退役后加</w:t>
      </w:r>
      <w:r>
        <w:rPr>
          <w:rFonts w:ascii="仿宋_GB2312" w:eastAsia="仿宋_GB2312"/>
          <w:sz w:val="32"/>
          <w:szCs w:val="32"/>
        </w:rPr>
        <w:t>5</w:t>
      </w:r>
      <w:r>
        <w:rPr>
          <w:rFonts w:hint="eastAsia" w:ascii="仿宋_GB2312" w:eastAsia="仿宋_GB2312"/>
          <w:sz w:val="32"/>
          <w:szCs w:val="32"/>
        </w:rPr>
        <w:t>分。</w:t>
      </w:r>
    </w:p>
    <w:p>
      <w:pPr>
        <w:spacing w:line="560" w:lineRule="exact"/>
        <w:ind w:firstLine="643" w:firstLineChars="200"/>
        <w:outlineLvl w:val="2"/>
        <w:rPr>
          <w:rFonts w:ascii="仿宋_GB2312" w:hAnsi="仿宋_GB2312" w:eastAsia="仿宋_GB2312" w:cs="仿宋_GB2312"/>
          <w:b/>
          <w:bCs/>
          <w:sz w:val="32"/>
          <w:szCs w:val="32"/>
        </w:rPr>
      </w:pPr>
      <w:bookmarkStart w:id="55" w:name="_Toc7639"/>
      <w:bookmarkStart w:id="56" w:name="_Toc31915"/>
      <w:bookmarkStart w:id="57" w:name="_Toc5502"/>
      <w:bookmarkStart w:id="58" w:name="_Toc15434"/>
      <w:bookmarkStart w:id="59" w:name="_Toc21973"/>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退役优秀运动员</w:t>
      </w:r>
      <w:bookmarkEnd w:id="55"/>
      <w:bookmarkEnd w:id="56"/>
      <w:bookmarkEnd w:id="57"/>
      <w:bookmarkEnd w:id="58"/>
      <w:bookmarkEnd w:id="59"/>
    </w:p>
    <w:p>
      <w:pPr>
        <w:spacing w:line="560" w:lineRule="exact"/>
        <w:ind w:firstLine="640" w:firstLineChars="200"/>
        <w:rPr>
          <w:rFonts w:ascii="仿宋_GB2312" w:eastAsia="仿宋_GB2312"/>
          <w:sz w:val="32"/>
          <w:szCs w:val="32"/>
        </w:rPr>
      </w:pPr>
      <w:r>
        <w:rPr>
          <w:rFonts w:hint="eastAsia" w:ascii="仿宋_GB2312" w:eastAsia="仿宋_GB2312"/>
          <w:sz w:val="32"/>
          <w:szCs w:val="32"/>
        </w:rPr>
        <w:t>厦门市退役优秀运动员，可享受以下笔试卷面分加分：曾获得世界体育三大比赛（奥运会、世锦赛、世界杯）第</w:t>
      </w:r>
      <w:r>
        <w:rPr>
          <w:rFonts w:ascii="仿宋_GB2312" w:eastAsia="仿宋_GB2312"/>
          <w:sz w:val="32"/>
          <w:szCs w:val="32"/>
        </w:rPr>
        <w:t>2</w:t>
      </w:r>
      <w:r>
        <w:rPr>
          <w:rFonts w:hint="eastAsia" w:ascii="仿宋_GB2312" w:eastAsia="仿宋_GB2312"/>
          <w:sz w:val="32"/>
          <w:szCs w:val="32"/>
        </w:rPr>
        <w:t>至第</w:t>
      </w:r>
      <w:r>
        <w:rPr>
          <w:rFonts w:ascii="仿宋_GB2312" w:eastAsia="仿宋_GB2312"/>
          <w:sz w:val="32"/>
          <w:szCs w:val="32"/>
        </w:rPr>
        <w:t>6</w:t>
      </w:r>
      <w:r>
        <w:rPr>
          <w:rFonts w:hint="eastAsia" w:ascii="仿宋_GB2312" w:eastAsia="仿宋_GB2312"/>
          <w:sz w:val="32"/>
          <w:szCs w:val="32"/>
        </w:rPr>
        <w:t>名，亚洲体育三大比赛（亚运会、亚锦赛、亚洲杯）或全运会第</w:t>
      </w:r>
      <w:r>
        <w:rPr>
          <w:rFonts w:ascii="仿宋_GB2312" w:eastAsia="仿宋_GB2312"/>
          <w:sz w:val="32"/>
          <w:szCs w:val="32"/>
        </w:rPr>
        <w:t>2</w:t>
      </w:r>
      <w:r>
        <w:rPr>
          <w:rFonts w:hint="eastAsia" w:ascii="仿宋_GB2312" w:eastAsia="仿宋_GB2312"/>
          <w:sz w:val="32"/>
          <w:szCs w:val="32"/>
        </w:rPr>
        <w:t>或第</w:t>
      </w:r>
      <w:r>
        <w:rPr>
          <w:rFonts w:ascii="仿宋_GB2312" w:eastAsia="仿宋_GB2312"/>
          <w:sz w:val="32"/>
          <w:szCs w:val="32"/>
        </w:rPr>
        <w:t>3</w:t>
      </w:r>
      <w:r>
        <w:rPr>
          <w:rFonts w:hint="eastAsia" w:ascii="仿宋_GB2312" w:eastAsia="仿宋_GB2312"/>
          <w:sz w:val="32"/>
          <w:szCs w:val="32"/>
        </w:rPr>
        <w:t>名，全国锦标赛、全国冠军赛或篮球、排球、足球全国职业联赛第</w:t>
      </w:r>
      <w:r>
        <w:rPr>
          <w:rFonts w:ascii="仿宋_GB2312" w:eastAsia="仿宋_GB2312"/>
          <w:sz w:val="32"/>
          <w:szCs w:val="32"/>
        </w:rPr>
        <w:t>1</w:t>
      </w:r>
      <w:r>
        <w:rPr>
          <w:rFonts w:hint="eastAsia" w:ascii="仿宋_GB2312" w:eastAsia="仿宋_GB2312"/>
          <w:sz w:val="32"/>
          <w:szCs w:val="32"/>
        </w:rPr>
        <w:t>名的，加</w:t>
      </w:r>
      <w:r>
        <w:rPr>
          <w:rFonts w:ascii="仿宋_GB2312" w:eastAsia="仿宋_GB2312"/>
          <w:sz w:val="32"/>
          <w:szCs w:val="32"/>
        </w:rPr>
        <w:t>9</w:t>
      </w:r>
      <w:r>
        <w:rPr>
          <w:rFonts w:hint="eastAsia" w:ascii="仿宋_GB2312" w:eastAsia="仿宋_GB2312"/>
          <w:sz w:val="32"/>
          <w:szCs w:val="32"/>
        </w:rPr>
        <w:t>分；曾获得省运动会冠军，全国锦标赛、全国冠军赛或篮球、排球、足球全国职业联赛第</w:t>
      </w:r>
      <w:r>
        <w:rPr>
          <w:rFonts w:ascii="仿宋_GB2312" w:eastAsia="仿宋_GB2312"/>
          <w:sz w:val="32"/>
          <w:szCs w:val="32"/>
        </w:rPr>
        <w:t>2</w:t>
      </w:r>
      <w:r>
        <w:rPr>
          <w:rFonts w:hint="eastAsia" w:ascii="仿宋_GB2312" w:eastAsia="仿宋_GB2312"/>
          <w:sz w:val="32"/>
          <w:szCs w:val="32"/>
        </w:rPr>
        <w:t>或第</w:t>
      </w:r>
      <w:r>
        <w:rPr>
          <w:rFonts w:ascii="仿宋_GB2312" w:eastAsia="仿宋_GB2312"/>
          <w:sz w:val="32"/>
          <w:szCs w:val="32"/>
        </w:rPr>
        <w:t>3</w:t>
      </w:r>
      <w:r>
        <w:rPr>
          <w:rFonts w:hint="eastAsia" w:ascii="仿宋_GB2312" w:eastAsia="仿宋_GB2312"/>
          <w:sz w:val="32"/>
          <w:szCs w:val="32"/>
        </w:rPr>
        <w:t>名，亚洲体育三大比赛（亚运会、亚锦赛、亚洲杯）第</w:t>
      </w:r>
      <w:r>
        <w:rPr>
          <w:rFonts w:ascii="仿宋_GB2312" w:eastAsia="仿宋_GB2312"/>
          <w:sz w:val="32"/>
          <w:szCs w:val="32"/>
        </w:rPr>
        <w:t>4</w:t>
      </w:r>
      <w:r>
        <w:rPr>
          <w:rFonts w:hint="eastAsia" w:ascii="仿宋_GB2312" w:eastAsia="仿宋_GB2312"/>
          <w:sz w:val="32"/>
          <w:szCs w:val="32"/>
        </w:rPr>
        <w:t>至第</w:t>
      </w:r>
      <w:r>
        <w:rPr>
          <w:rFonts w:ascii="仿宋_GB2312" w:eastAsia="仿宋_GB2312"/>
          <w:sz w:val="32"/>
          <w:szCs w:val="32"/>
        </w:rPr>
        <w:t>6</w:t>
      </w:r>
      <w:r>
        <w:rPr>
          <w:rFonts w:hint="eastAsia" w:ascii="仿宋_GB2312" w:eastAsia="仿宋_GB2312"/>
          <w:sz w:val="32"/>
          <w:szCs w:val="32"/>
        </w:rPr>
        <w:t>名的，加</w:t>
      </w:r>
      <w:r>
        <w:rPr>
          <w:rFonts w:ascii="仿宋_GB2312" w:eastAsia="仿宋_GB2312"/>
          <w:sz w:val="32"/>
          <w:szCs w:val="32"/>
        </w:rPr>
        <w:t>7</w:t>
      </w:r>
      <w:r>
        <w:rPr>
          <w:rFonts w:hint="eastAsia" w:ascii="仿宋_GB2312" w:eastAsia="仿宋_GB2312"/>
          <w:sz w:val="32"/>
          <w:szCs w:val="32"/>
        </w:rPr>
        <w:t>分。</w:t>
      </w:r>
    </w:p>
    <w:p>
      <w:pPr>
        <w:spacing w:line="560" w:lineRule="exact"/>
        <w:ind w:firstLine="643" w:firstLineChars="200"/>
        <w:outlineLvl w:val="1"/>
        <w:rPr>
          <w:rFonts w:ascii="楷体" w:hAnsi="楷体" w:eastAsia="楷体" w:cs="楷体"/>
          <w:b/>
          <w:bCs/>
          <w:sz w:val="32"/>
          <w:szCs w:val="32"/>
        </w:rPr>
      </w:pPr>
      <w:bookmarkStart w:id="60" w:name="_Toc14428"/>
      <w:bookmarkStart w:id="61" w:name="_Toc22910"/>
      <w:bookmarkStart w:id="62" w:name="_Toc30306"/>
      <w:r>
        <w:rPr>
          <w:rFonts w:hint="eastAsia" w:ascii="楷体" w:hAnsi="楷体" w:eastAsia="楷体" w:cs="楷体"/>
          <w:b/>
          <w:bCs/>
          <w:sz w:val="32"/>
          <w:szCs w:val="32"/>
        </w:rPr>
        <w:t>（三）加分证明材料</w:t>
      </w:r>
      <w:bookmarkEnd w:id="60"/>
      <w:bookmarkEnd w:id="61"/>
      <w:bookmarkEnd w:id="62"/>
    </w:p>
    <w:p>
      <w:pPr>
        <w:widowControl/>
        <w:spacing w:line="560" w:lineRule="exact"/>
        <w:ind w:firstLine="640" w:firstLineChars="200"/>
        <w:rPr>
          <w:rFonts w:ascii="仿宋_GB2312" w:eastAsia="仿宋_GB2312"/>
          <w:sz w:val="32"/>
          <w:szCs w:val="32"/>
        </w:rPr>
      </w:pPr>
      <w:r>
        <w:rPr>
          <w:rFonts w:hint="eastAsia" w:ascii="仿宋_GB2312" w:hAnsi="宋体" w:eastAsia="仿宋_GB2312" w:cs="宋体"/>
          <w:kern w:val="0"/>
          <w:sz w:val="32"/>
          <w:szCs w:val="32"/>
        </w:rPr>
        <w:t>符合笔试加分规定的报考人员须在网上报名时如实填报，并于</w:t>
      </w:r>
      <w:r>
        <w:rPr>
          <w:rFonts w:ascii="仿宋_GB2312" w:hAnsi="宋体" w:eastAsia="仿宋_GB2312" w:cs="宋体"/>
          <w:kern w:val="0"/>
          <w:sz w:val="32"/>
          <w:szCs w:val="32"/>
        </w:rPr>
        <w:t>4</w:t>
      </w:r>
      <w:r>
        <w:rPr>
          <w:rFonts w:hint="eastAsia" w:ascii="仿宋_GB2312" w:hAnsi="宋体" w:eastAsia="仿宋_GB2312" w:cs="宋体"/>
          <w:kern w:val="0"/>
          <w:sz w:val="32"/>
          <w:szCs w:val="32"/>
        </w:rPr>
        <w:t>月</w:t>
      </w:r>
      <w:r>
        <w:rPr>
          <w:rFonts w:ascii="仿宋_GB2312" w:hAnsi="宋体" w:eastAsia="仿宋_GB2312" w:cs="宋体"/>
          <w:kern w:val="0"/>
          <w:sz w:val="32"/>
          <w:szCs w:val="32"/>
        </w:rPr>
        <w:t>15</w:t>
      </w:r>
      <w:r>
        <w:rPr>
          <w:rFonts w:hint="eastAsia" w:ascii="仿宋_GB2312" w:hAnsi="宋体" w:eastAsia="仿宋_GB2312" w:cs="宋体"/>
          <w:kern w:val="0"/>
          <w:sz w:val="32"/>
          <w:szCs w:val="32"/>
        </w:rPr>
        <w:t>日</w:t>
      </w:r>
      <w:r>
        <w:rPr>
          <w:rFonts w:ascii="仿宋_GB2312" w:hAnsi="宋体" w:eastAsia="仿宋_GB2312" w:cs="宋体"/>
          <w:kern w:val="0"/>
          <w:sz w:val="32"/>
          <w:szCs w:val="32"/>
        </w:rPr>
        <w:t>17:00</w:t>
      </w:r>
      <w:r>
        <w:rPr>
          <w:rFonts w:hint="eastAsia" w:ascii="仿宋_GB2312" w:hAnsi="宋体" w:eastAsia="仿宋_GB2312" w:cs="宋体"/>
          <w:kern w:val="0"/>
          <w:sz w:val="32"/>
          <w:szCs w:val="32"/>
        </w:rPr>
        <w:t>前主动向招聘单位沟通提交加分证明材料的提交方式（具体联系方式详见附件</w:t>
      </w:r>
      <w:r>
        <w:rPr>
          <w:rFonts w:ascii="仿宋_GB2312" w:hAnsi="宋体" w:eastAsia="仿宋_GB2312" w:cs="宋体"/>
          <w:kern w:val="0"/>
          <w:sz w:val="32"/>
          <w:szCs w:val="32"/>
        </w:rPr>
        <w:t>2</w:t>
      </w:r>
      <w:r>
        <w:rPr>
          <w:rFonts w:hint="eastAsia" w:ascii="仿宋_GB2312" w:hAnsi="宋体" w:eastAsia="仿宋_GB2312" w:cs="宋体"/>
          <w:kern w:val="0"/>
          <w:sz w:val="32"/>
          <w:szCs w:val="32"/>
        </w:rPr>
        <w:t>），</w:t>
      </w:r>
      <w:r>
        <w:rPr>
          <w:rFonts w:hint="eastAsia" w:ascii="仿宋_GB2312" w:eastAsia="仿宋_GB2312"/>
          <w:sz w:val="32"/>
          <w:szCs w:val="32"/>
        </w:rPr>
        <w:t>否则视为放弃享受加分政策：</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服务基层项目毕业生须提交组织实施相应项目的机构出具的服务基层期满考核合格证书（或服务期满考核合格材料），以及福建户籍或福建生源证明材料。</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符合加分政策的退役士兵（含大学生退役士兵）安置在厦门市的，可于上班时间持身份证、退伍证前往安置地区级退役军人事务局开具证明；安置在厦门市以外的，可由安置地县级及以上退役军人事务部门开具证明。此前已由相关部门开具的证明继续有效。</w:t>
      </w:r>
    </w:p>
    <w:p>
      <w:pPr>
        <w:snapToGrid w:val="0"/>
        <w:spacing w:line="560" w:lineRule="exact"/>
        <w:ind w:firstLine="640" w:firstLineChars="200"/>
        <w:rPr>
          <w:rFonts w:ascii="仿宋_GB2312" w:hAnsi="仿宋_GB2312" w:eastAsia="仿宋_GB2312" w:cs="仿宋_GB2312"/>
          <w:sz w:val="32"/>
          <w:szCs w:val="32"/>
        </w:rPr>
      </w:pPr>
      <w:r>
        <w:rPr>
          <w:rFonts w:ascii="仿宋_GB2312" w:eastAsia="仿宋_GB2312"/>
          <w:sz w:val="32"/>
          <w:szCs w:val="32"/>
        </w:rPr>
        <w:t>3.</w:t>
      </w:r>
      <w:r>
        <w:rPr>
          <w:rFonts w:hint="eastAsia" w:ascii="仿宋_GB2312" w:eastAsia="仿宋_GB2312"/>
          <w:sz w:val="32"/>
          <w:szCs w:val="32"/>
        </w:rPr>
        <w:t>符合加分政策的我市退役优秀运动员可持相应奖项证书前往厦门市体育局人事处开具证明材料</w:t>
      </w:r>
      <w:r>
        <w:rPr>
          <w:rFonts w:ascii="仿宋_GB2312" w:eastAsia="仿宋_GB2312"/>
          <w:sz w:val="32"/>
          <w:szCs w:val="32"/>
        </w:rPr>
        <w:t>(</w:t>
      </w:r>
      <w:r>
        <w:rPr>
          <w:rFonts w:hint="eastAsia" w:ascii="仿宋_GB2312" w:eastAsia="仿宋_GB2312"/>
          <w:sz w:val="32"/>
          <w:szCs w:val="32"/>
        </w:rPr>
        <w:t>联系电话</w:t>
      </w:r>
      <w:r>
        <w:rPr>
          <w:rFonts w:ascii="仿宋_GB2312" w:eastAsia="仿宋_GB2312"/>
          <w:sz w:val="32"/>
          <w:szCs w:val="32"/>
        </w:rPr>
        <w:t>0592-5339323)</w:t>
      </w:r>
      <w:r>
        <w:rPr>
          <w:rFonts w:hint="eastAsia" w:ascii="仿宋_GB2312" w:hAnsi="仿宋_GB2312" w:eastAsia="仿宋_GB2312" w:cs="仿宋_GB2312"/>
          <w:sz w:val="32"/>
          <w:szCs w:val="32"/>
        </w:rPr>
        <w:t>。</w:t>
      </w:r>
    </w:p>
    <w:p>
      <w:pPr>
        <w:snapToGrid w:val="0"/>
        <w:spacing w:line="560" w:lineRule="exact"/>
        <w:ind w:firstLine="640" w:firstLineChars="200"/>
        <w:outlineLvl w:val="0"/>
        <w:rPr>
          <w:rFonts w:ascii="黑体" w:hAnsi="黑体" w:eastAsia="黑体" w:cs="黑体"/>
          <w:bCs/>
          <w:sz w:val="32"/>
          <w:szCs w:val="32"/>
        </w:rPr>
      </w:pPr>
      <w:bookmarkStart w:id="63" w:name="_Toc7024"/>
      <w:r>
        <w:rPr>
          <w:rFonts w:hint="eastAsia" w:ascii="黑体" w:hAnsi="黑体" w:eastAsia="黑体" w:cs="黑体"/>
          <w:bCs/>
          <w:sz w:val="32"/>
          <w:szCs w:val="32"/>
        </w:rPr>
        <w:t>九、综合总分计算</w:t>
      </w:r>
      <w:bookmarkEnd w:id="63"/>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综合总分合格线为</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分。</w:t>
      </w:r>
      <w:r>
        <w:rPr>
          <w:rFonts w:hint="eastAsia" w:ascii="仿宋_GB2312" w:eastAsia="仿宋_GB2312"/>
          <w:sz w:val="32"/>
          <w:szCs w:val="32"/>
        </w:rPr>
        <w:t>综合总分具体计算公式为：</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综合总分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笔试成绩×</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面试成绩×</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笔试成绩、面试成绩、综合总分均采用四舍五入方式取小数点后</w:t>
      </w:r>
      <w:r>
        <w:rPr>
          <w:rFonts w:ascii="仿宋_GB2312" w:eastAsia="仿宋_GB2312"/>
          <w:sz w:val="32"/>
          <w:szCs w:val="32"/>
        </w:rPr>
        <w:t>2</w:t>
      </w:r>
      <w:r>
        <w:rPr>
          <w:rFonts w:hint="eastAsia" w:ascii="仿宋_GB2312" w:eastAsia="仿宋_GB2312"/>
          <w:sz w:val="32"/>
          <w:szCs w:val="32"/>
        </w:rPr>
        <w:t>位（必要时可增加小数点位数）。对于综合总分相同者，按以下顺序进一步确定名次排列：</w:t>
      </w:r>
    </w:p>
    <w:p>
      <w:pPr>
        <w:widowControl/>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（一）按笔试成绩从高到低排列；</w:t>
      </w:r>
    </w:p>
    <w:p>
      <w:pPr>
        <w:widowControl/>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（二）若笔试成绩又相同，按面试成绩排列；</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微软雅黑" w:eastAsia="仿宋_GB2312" w:cs="宋体"/>
          <w:sz w:val="32"/>
          <w:szCs w:val="32"/>
        </w:rPr>
        <w:t>（三）若面试成绩依然相同，符合国家、福建省或厦门市文件规定优先对象的，优先进入体检环节。若无优先对象，可由考生协商一致的情况下签名同意自行采取简易方式确定最终进入体检环节人选，或由面试组织部门组织他们重新进行面试，取重新面试成绩较高者进入体检环节。</w:t>
      </w:r>
    </w:p>
    <w:p>
      <w:pPr>
        <w:snapToGrid w:val="0"/>
        <w:spacing w:line="560" w:lineRule="exact"/>
        <w:ind w:firstLine="640" w:firstLineChars="200"/>
        <w:outlineLvl w:val="0"/>
        <w:rPr>
          <w:rFonts w:ascii="黑体" w:hAnsi="黑体" w:eastAsia="黑体" w:cs="黑体"/>
          <w:bCs/>
          <w:sz w:val="32"/>
          <w:szCs w:val="32"/>
        </w:rPr>
      </w:pPr>
      <w:bookmarkStart w:id="64" w:name="_Toc22520"/>
      <w:r>
        <w:rPr>
          <w:rFonts w:hint="eastAsia" w:ascii="黑体" w:hAnsi="黑体" w:eastAsia="黑体" w:cs="黑体"/>
          <w:bCs/>
          <w:sz w:val="32"/>
          <w:szCs w:val="32"/>
        </w:rPr>
        <w:t>十、体检和考察</w:t>
      </w:r>
      <w:bookmarkEnd w:id="64"/>
    </w:p>
    <w:p>
      <w:pPr>
        <w:snapToGrid w:val="0"/>
        <w:spacing w:line="560" w:lineRule="exact"/>
        <w:ind w:firstLine="643" w:firstLineChars="200"/>
        <w:outlineLvl w:val="1"/>
        <w:rPr>
          <w:rFonts w:ascii="楷体" w:hAnsi="楷体" w:eastAsia="楷体" w:cs="楷体_GB2312"/>
          <w:b/>
          <w:sz w:val="32"/>
          <w:szCs w:val="32"/>
        </w:rPr>
      </w:pPr>
      <w:bookmarkStart w:id="65" w:name="_Toc14337"/>
      <w:r>
        <w:rPr>
          <w:rFonts w:hint="eastAsia" w:ascii="楷体" w:hAnsi="楷体" w:eastAsia="楷体" w:cs="楷体_GB2312"/>
          <w:b/>
          <w:sz w:val="32"/>
          <w:szCs w:val="32"/>
        </w:rPr>
        <w:t>（一）确定体检人选</w:t>
      </w:r>
      <w:bookmarkEnd w:id="65"/>
    </w:p>
    <w:p>
      <w:pPr>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从笔试、面试成绩和综合总分均合格者中</w:t>
      </w:r>
      <w:r>
        <w:rPr>
          <w:rFonts w:hint="eastAsia" w:ascii="仿宋_GB2312" w:hAnsi="仿宋_GB2312" w:eastAsia="仿宋_GB2312" w:cs="仿宋_GB2312"/>
          <w:sz w:val="32"/>
          <w:szCs w:val="32"/>
        </w:rPr>
        <w:t>，根据综合总分排名顺序，按岗位拟招聘人数</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的比例从高分至低分确定体检人选。</w:t>
      </w:r>
    </w:p>
    <w:p>
      <w:pPr>
        <w:snapToGrid w:val="0"/>
        <w:spacing w:line="560" w:lineRule="exact"/>
        <w:ind w:firstLine="643" w:firstLineChars="200"/>
        <w:outlineLvl w:val="1"/>
        <w:rPr>
          <w:rFonts w:ascii="楷体" w:hAnsi="楷体" w:eastAsia="楷体" w:cs="楷体_GB2312"/>
          <w:b/>
          <w:sz w:val="32"/>
          <w:szCs w:val="32"/>
        </w:rPr>
      </w:pPr>
      <w:bookmarkStart w:id="66" w:name="_Toc16947"/>
      <w:r>
        <w:rPr>
          <w:rFonts w:hint="eastAsia" w:ascii="楷体" w:hAnsi="楷体" w:eastAsia="楷体" w:cs="楷体_GB2312"/>
          <w:b/>
          <w:sz w:val="32"/>
          <w:szCs w:val="32"/>
        </w:rPr>
        <w:t>（二）组织体检</w:t>
      </w:r>
      <w:bookmarkEnd w:id="66"/>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体检由区人社局统一组织，体检人员应根据通知按时参加并配合体检，否则，视为放弃资格。</w:t>
      </w:r>
    </w:p>
    <w:p>
      <w:pPr>
        <w:snapToGrid w:val="0"/>
        <w:spacing w:line="560" w:lineRule="exact"/>
        <w:ind w:firstLine="643" w:firstLineChars="200"/>
        <w:outlineLvl w:val="1"/>
        <w:rPr>
          <w:rFonts w:ascii="楷体" w:hAnsi="楷体" w:eastAsia="楷体" w:cs="楷体_GB2312"/>
          <w:b/>
          <w:sz w:val="32"/>
          <w:szCs w:val="32"/>
        </w:rPr>
      </w:pPr>
      <w:bookmarkStart w:id="67" w:name="_Toc9000"/>
      <w:r>
        <w:rPr>
          <w:rFonts w:hint="eastAsia" w:ascii="楷体" w:hAnsi="楷体" w:eastAsia="楷体" w:cs="楷体_GB2312"/>
          <w:b/>
          <w:sz w:val="32"/>
          <w:szCs w:val="32"/>
        </w:rPr>
        <w:t>（三）体检依据</w:t>
      </w:r>
      <w:bookmarkEnd w:id="67"/>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本次招聘体检参照《公务员录用体检通用标准（试行）》和《公务员录用体检操作手册（试行）》和《关于修订〈公务员录用体检通用标准（试行）〉及〈公务员录用体检操作手册（试行）〉的通知》（人社部发〔</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140</w:t>
      </w:r>
      <w:r>
        <w:rPr>
          <w:rFonts w:hint="eastAsia" w:ascii="仿宋_GB2312" w:eastAsia="仿宋_GB2312"/>
          <w:sz w:val="32"/>
          <w:szCs w:val="32"/>
        </w:rPr>
        <w:t>号）等文件的要求</w:t>
      </w:r>
      <w:r>
        <w:rPr>
          <w:rFonts w:ascii="仿宋_GB2312" w:eastAsia="仿宋_GB2312"/>
          <w:sz w:val="32"/>
          <w:szCs w:val="32"/>
        </w:rPr>
        <w:t>,</w:t>
      </w:r>
      <w:r>
        <w:rPr>
          <w:rFonts w:hint="eastAsia" w:ascii="仿宋_GB2312" w:eastAsia="仿宋_GB2312"/>
          <w:sz w:val="32"/>
          <w:szCs w:val="32"/>
        </w:rPr>
        <w:t>特殊行业或岗位有相应体检标准可另行要求</w:t>
      </w:r>
      <w:r>
        <w:rPr>
          <w:rFonts w:hint="eastAsia" w:ascii="仿宋_GB2312" w:hAnsi="仿宋_GB2312" w:eastAsia="仿宋_GB2312" w:cs="仿宋_GB2312"/>
          <w:sz w:val="32"/>
          <w:szCs w:val="32"/>
        </w:rPr>
        <w:t>。</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体检医院由区人社局根据要求指定。具体检测方法由体检医院结合实际确定，体检结论以体检医院出具的体检报告为准。</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体（复）检费用个人自理。凡在体检中弄虚作假或隐瞒真实情况的报考者，不予聘用或取消聘用。</w:t>
      </w:r>
    </w:p>
    <w:p>
      <w:pPr>
        <w:snapToGrid w:val="0"/>
        <w:spacing w:line="560" w:lineRule="exact"/>
        <w:ind w:firstLine="643" w:firstLineChars="200"/>
        <w:outlineLvl w:val="1"/>
        <w:rPr>
          <w:rFonts w:ascii="楷体" w:hAnsi="楷体" w:eastAsia="楷体" w:cs="楷体_GB2312"/>
          <w:b/>
          <w:sz w:val="32"/>
          <w:szCs w:val="32"/>
        </w:rPr>
      </w:pPr>
      <w:bookmarkStart w:id="68" w:name="_Toc18014"/>
      <w:r>
        <w:rPr>
          <w:rFonts w:hint="eastAsia" w:ascii="楷体" w:hAnsi="楷体" w:eastAsia="楷体" w:cs="楷体_GB2312"/>
          <w:b/>
          <w:sz w:val="32"/>
          <w:szCs w:val="32"/>
        </w:rPr>
        <w:t>（四）体检复检</w:t>
      </w:r>
      <w:bookmarkEnd w:id="68"/>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复检参照人力资源社会保障部、卫生部、国家公务员局《关于进一步做好公务员考试录用体检工作的通知》</w:t>
      </w:r>
      <w:r>
        <w:rPr>
          <w:rFonts w:ascii="仿宋_GB2312" w:eastAsia="仿宋_GB2312"/>
          <w:sz w:val="32"/>
          <w:szCs w:val="32"/>
        </w:rPr>
        <w:t>(</w:t>
      </w:r>
      <w:r>
        <w:rPr>
          <w:rFonts w:hint="eastAsia" w:ascii="仿宋_GB2312" w:eastAsia="仿宋_GB2312"/>
          <w:sz w:val="32"/>
          <w:szCs w:val="32"/>
        </w:rPr>
        <w:t>人社部发〔</w:t>
      </w:r>
      <w:r>
        <w:rPr>
          <w:rFonts w:ascii="仿宋_GB2312" w:eastAsia="仿宋_GB2312"/>
          <w:sz w:val="32"/>
          <w:szCs w:val="32"/>
        </w:rPr>
        <w:t>2012</w:t>
      </w:r>
      <w:r>
        <w:rPr>
          <w:rFonts w:hint="eastAsia" w:ascii="仿宋_GB2312" w:eastAsia="仿宋_GB2312"/>
          <w:sz w:val="32"/>
          <w:szCs w:val="32"/>
        </w:rPr>
        <w:t>〕</w:t>
      </w:r>
      <w:r>
        <w:rPr>
          <w:rFonts w:ascii="仿宋_GB2312" w:eastAsia="仿宋_GB2312"/>
          <w:sz w:val="32"/>
          <w:szCs w:val="32"/>
        </w:rPr>
        <w:t>65</w:t>
      </w:r>
      <w:r>
        <w:rPr>
          <w:rFonts w:hint="eastAsia" w:ascii="仿宋_GB2312" w:eastAsia="仿宋_GB2312"/>
          <w:sz w:val="32"/>
          <w:szCs w:val="32"/>
        </w:rPr>
        <w:t>号</w:t>
      </w:r>
      <w:r>
        <w:rPr>
          <w:rFonts w:ascii="仿宋_GB2312" w:eastAsia="仿宋_GB2312"/>
          <w:sz w:val="32"/>
          <w:szCs w:val="32"/>
        </w:rPr>
        <w:t>)</w:t>
      </w:r>
      <w:r>
        <w:rPr>
          <w:rFonts w:hint="eastAsia" w:ascii="仿宋_GB2312" w:eastAsia="仿宋_GB2312"/>
          <w:sz w:val="32"/>
          <w:szCs w:val="32"/>
        </w:rPr>
        <w:t>的有关规定执行，其中：</w:t>
      </w:r>
    </w:p>
    <w:p>
      <w:pPr>
        <w:snapToGrid w:val="0"/>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对心率、视力、听力、血压等项目达不到体检合格标准的，安排</w:t>
      </w:r>
      <w:r>
        <w:rPr>
          <w:rFonts w:hint="eastAsia" w:ascii="仿宋_GB2312" w:eastAsia="仿宋_GB2312"/>
          <w:b/>
          <w:bCs/>
          <w:sz w:val="32"/>
          <w:szCs w:val="32"/>
        </w:rPr>
        <w:t>当日复检</w:t>
      </w:r>
      <w:r>
        <w:rPr>
          <w:rFonts w:hint="eastAsia" w:ascii="仿宋_GB2312" w:eastAsia="仿宋_GB2312"/>
          <w:sz w:val="32"/>
          <w:szCs w:val="32"/>
        </w:rPr>
        <w:t>；对边缘性心脏杂音、病理性心电图、病理性杂音、频发早搏（心电图证实）等项目达不到体检合格标准的，安排</w:t>
      </w:r>
      <w:r>
        <w:rPr>
          <w:rFonts w:hint="eastAsia" w:ascii="仿宋_GB2312" w:eastAsia="仿宋_GB2312"/>
          <w:b/>
          <w:bCs/>
          <w:sz w:val="32"/>
          <w:szCs w:val="32"/>
        </w:rPr>
        <w:t>当场复检</w:t>
      </w:r>
      <w:r>
        <w:rPr>
          <w:rFonts w:hint="eastAsia" w:ascii="仿宋_GB2312" w:eastAsia="仿宋_GB2312"/>
          <w:sz w:val="32"/>
          <w:szCs w:val="32"/>
        </w:rPr>
        <w:t>。</w:t>
      </w:r>
    </w:p>
    <w:p>
      <w:pPr>
        <w:snapToGrid w:val="0"/>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考生</w:t>
      </w:r>
      <w:r>
        <w:rPr>
          <w:rFonts w:hint="eastAsia" w:ascii="仿宋_GB2312" w:eastAsia="仿宋_GB2312"/>
          <w:b/>
          <w:bCs/>
          <w:sz w:val="32"/>
          <w:szCs w:val="32"/>
        </w:rPr>
        <w:t>对非当日或非当场复检的体检项目结果有疑问时</w:t>
      </w:r>
      <w:r>
        <w:rPr>
          <w:rFonts w:hint="eastAsia" w:ascii="仿宋_GB2312" w:eastAsia="仿宋_GB2312"/>
          <w:sz w:val="32"/>
          <w:szCs w:val="32"/>
        </w:rPr>
        <w:t>，可以在接到体检结论的</w:t>
      </w:r>
      <w:r>
        <w:rPr>
          <w:rFonts w:ascii="仿宋_GB2312" w:eastAsia="仿宋_GB2312"/>
          <w:sz w:val="32"/>
          <w:szCs w:val="32"/>
        </w:rPr>
        <w:t>7</w:t>
      </w:r>
      <w:r>
        <w:rPr>
          <w:rFonts w:hint="eastAsia" w:ascii="仿宋_GB2312" w:eastAsia="仿宋_GB2312"/>
          <w:sz w:val="32"/>
          <w:szCs w:val="32"/>
        </w:rPr>
        <w:t>日内，向组织体检单位提交复检申请。组织体检的单位另行指定医院复检。复检时不得告知复检项目。复检只能进行</w:t>
      </w:r>
      <w:r>
        <w:rPr>
          <w:rFonts w:ascii="仿宋_GB2312" w:eastAsia="仿宋_GB2312"/>
          <w:sz w:val="32"/>
          <w:szCs w:val="32"/>
        </w:rPr>
        <w:t>1</w:t>
      </w:r>
      <w:r>
        <w:rPr>
          <w:rFonts w:hint="eastAsia" w:ascii="仿宋_GB2312" w:eastAsia="仿宋_GB2312"/>
          <w:sz w:val="32"/>
          <w:szCs w:val="32"/>
        </w:rPr>
        <w:t>次，体检结论以复检的结果为准。自行体检的结果无效。</w:t>
      </w:r>
    </w:p>
    <w:p>
      <w:pPr>
        <w:snapToGrid w:val="0"/>
        <w:spacing w:line="560" w:lineRule="exact"/>
        <w:ind w:firstLine="640" w:firstLineChars="200"/>
        <w:rPr>
          <w:rFonts w:ascii="仿宋_GB2312" w:hAnsi="仿宋_GB2312" w:eastAsia="仿宋_GB2312" w:cs="仿宋_GB2312"/>
          <w:sz w:val="32"/>
          <w:szCs w:val="32"/>
        </w:rPr>
      </w:pPr>
      <w:r>
        <w:rPr>
          <w:rFonts w:ascii="仿宋_GB2312" w:eastAsia="仿宋_GB2312"/>
          <w:sz w:val="32"/>
          <w:szCs w:val="32"/>
        </w:rPr>
        <w:t>3.</w:t>
      </w:r>
      <w:r>
        <w:rPr>
          <w:rFonts w:hint="eastAsia" w:ascii="仿宋_GB2312" w:eastAsia="仿宋_GB2312"/>
          <w:sz w:val="32"/>
          <w:szCs w:val="32"/>
        </w:rPr>
        <w:t>组织体检单位对体检结论有疑问的，在接到体检结论通知之日起</w:t>
      </w:r>
      <w:r>
        <w:rPr>
          <w:rFonts w:ascii="仿宋_GB2312" w:eastAsia="仿宋_GB2312"/>
          <w:sz w:val="32"/>
          <w:szCs w:val="32"/>
        </w:rPr>
        <w:t>7</w:t>
      </w:r>
      <w:r>
        <w:rPr>
          <w:rFonts w:hint="eastAsia" w:ascii="仿宋_GB2312" w:eastAsia="仿宋_GB2312"/>
          <w:sz w:val="32"/>
          <w:szCs w:val="32"/>
        </w:rPr>
        <w:t>日内决定是否进行复检</w:t>
      </w:r>
      <w:r>
        <w:rPr>
          <w:rFonts w:hint="eastAsia" w:ascii="仿宋_GB2312" w:hAnsi="仿宋_GB2312" w:eastAsia="仿宋_GB2312" w:cs="仿宋_GB2312"/>
          <w:sz w:val="32"/>
          <w:szCs w:val="32"/>
        </w:rPr>
        <w:t>。</w:t>
      </w:r>
    </w:p>
    <w:p>
      <w:pPr>
        <w:snapToGrid w:val="0"/>
        <w:spacing w:line="560" w:lineRule="exact"/>
        <w:ind w:firstLine="643" w:firstLineChars="200"/>
        <w:outlineLvl w:val="1"/>
        <w:rPr>
          <w:rFonts w:ascii="楷体" w:hAnsi="楷体" w:eastAsia="楷体" w:cs="楷体_GB2312"/>
          <w:b/>
          <w:sz w:val="32"/>
          <w:szCs w:val="32"/>
        </w:rPr>
      </w:pPr>
      <w:bookmarkStart w:id="69" w:name="_Toc31857"/>
      <w:r>
        <w:rPr>
          <w:rFonts w:hint="eastAsia" w:ascii="楷体" w:hAnsi="楷体" w:eastAsia="楷体" w:cs="楷体_GB2312"/>
          <w:b/>
          <w:sz w:val="32"/>
          <w:szCs w:val="32"/>
        </w:rPr>
        <w:t>（五）可延迟体检的情形</w:t>
      </w:r>
      <w:bookmarkEnd w:id="69"/>
    </w:p>
    <w:p>
      <w:pPr>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女性报考者因怀孕、哺乳期需申请延期体检的，应提供相应的医学证明并与组织体检单位约定延缓体检的合理期限</w:t>
      </w:r>
      <w:r>
        <w:rPr>
          <w:rFonts w:hint="eastAsia" w:ascii="仿宋_GB2312" w:hAnsi="仿宋_GB2312" w:eastAsia="仿宋_GB2312" w:cs="仿宋_GB2312"/>
          <w:sz w:val="32"/>
          <w:szCs w:val="32"/>
        </w:rPr>
        <w:t>。</w:t>
      </w:r>
    </w:p>
    <w:p>
      <w:pPr>
        <w:snapToGrid w:val="0"/>
        <w:spacing w:line="560" w:lineRule="exact"/>
        <w:ind w:firstLine="643" w:firstLineChars="200"/>
        <w:outlineLvl w:val="1"/>
        <w:rPr>
          <w:rFonts w:ascii="楷体" w:hAnsi="楷体" w:eastAsia="楷体" w:cs="楷体_GB2312"/>
          <w:b/>
          <w:sz w:val="32"/>
          <w:szCs w:val="32"/>
        </w:rPr>
      </w:pPr>
      <w:bookmarkStart w:id="70" w:name="_Toc25929"/>
      <w:r>
        <w:rPr>
          <w:rFonts w:hint="eastAsia" w:ascii="楷体" w:hAnsi="楷体" w:eastAsia="楷体" w:cs="楷体_GB2312"/>
          <w:b/>
          <w:sz w:val="32"/>
          <w:szCs w:val="32"/>
        </w:rPr>
        <w:t>（六）考察</w:t>
      </w:r>
      <w:bookmarkEnd w:id="70"/>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对体检合格的报考人员，由招聘单位会同主管部门组织对其政治思想、道德品质、廉洁自律、能力素质、工作态度、学习及工作表现以及是否需要回避等内容进行考察，并对报考人员资格条件再次进行审核。</w:t>
      </w:r>
      <w:r>
        <w:rPr>
          <w:rFonts w:ascii="仿宋_GB2312" w:eastAsia="仿宋_GB2312"/>
          <w:sz w:val="32"/>
          <w:szCs w:val="32"/>
        </w:rPr>
        <w:t xml:space="preserve"> </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考察工作前，通过中国执行信息公开网（</w:t>
      </w:r>
      <w:r>
        <w:rPr>
          <w:rFonts w:ascii="仿宋_GB2312" w:eastAsia="仿宋_GB2312"/>
          <w:sz w:val="32"/>
          <w:szCs w:val="32"/>
        </w:rPr>
        <w:t>http://zxgk.court.gov.cn/</w:t>
      </w:r>
      <w:r>
        <w:rPr>
          <w:rFonts w:hint="eastAsia" w:ascii="仿宋_GB2312" w:eastAsia="仿宋_GB2312"/>
          <w:sz w:val="32"/>
          <w:szCs w:val="32"/>
        </w:rPr>
        <w:t>）核实考察对象有无失信被执行的情况。被依法列为失信联合惩戒对象的，不得报考或或取消报考（聘用）资格。</w:t>
      </w:r>
    </w:p>
    <w:p>
      <w:pPr>
        <w:snapToGrid w:val="0"/>
        <w:spacing w:line="560" w:lineRule="exact"/>
        <w:ind w:firstLine="640" w:firstLineChars="200"/>
        <w:outlineLvl w:val="0"/>
        <w:rPr>
          <w:rFonts w:ascii="黑体" w:hAnsi="黑体" w:eastAsia="黑体" w:cs="黑体"/>
          <w:bCs/>
          <w:sz w:val="32"/>
          <w:szCs w:val="32"/>
        </w:rPr>
      </w:pPr>
      <w:bookmarkStart w:id="71" w:name="_Toc2811"/>
      <w:r>
        <w:rPr>
          <w:rFonts w:hint="eastAsia" w:ascii="黑体" w:hAnsi="黑体" w:eastAsia="黑体" w:cs="黑体"/>
          <w:bCs/>
          <w:sz w:val="32"/>
          <w:szCs w:val="32"/>
        </w:rPr>
        <w:t>十一、公示</w:t>
      </w:r>
      <w:bookmarkEnd w:id="71"/>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根据岗位要求以及考试、体检、考察结果，确定拟聘用人员名单，并在考务信息通知平台公示</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个工作日。公示内容包括招聘单位名称、招聘岗位、拟聘人员基本信息等。</w:t>
      </w:r>
    </w:p>
    <w:p>
      <w:pPr>
        <w:snapToGrid w:val="0"/>
        <w:spacing w:line="560" w:lineRule="exact"/>
        <w:ind w:firstLine="640" w:firstLineChars="200"/>
        <w:outlineLvl w:val="0"/>
        <w:rPr>
          <w:rFonts w:ascii="黑体" w:hAnsi="黑体" w:eastAsia="黑体" w:cs="黑体"/>
          <w:bCs/>
          <w:sz w:val="32"/>
          <w:szCs w:val="32"/>
        </w:rPr>
      </w:pPr>
      <w:bookmarkStart w:id="72" w:name="_Toc13541"/>
      <w:r>
        <w:rPr>
          <w:rFonts w:hint="eastAsia" w:ascii="黑体" w:hAnsi="黑体" w:eastAsia="黑体" w:cs="黑体"/>
          <w:bCs/>
          <w:sz w:val="32"/>
          <w:szCs w:val="32"/>
        </w:rPr>
        <w:t>十二、聘用办理</w:t>
      </w:r>
      <w:bookmarkEnd w:id="72"/>
    </w:p>
    <w:p>
      <w:pPr>
        <w:snapToGrid w:val="0"/>
        <w:spacing w:line="560" w:lineRule="exact"/>
        <w:ind w:firstLine="643" w:firstLineChars="200"/>
        <w:outlineLvl w:val="1"/>
        <w:rPr>
          <w:rFonts w:ascii="楷体" w:hAnsi="楷体" w:eastAsia="楷体" w:cs="楷体_GB2312"/>
          <w:b/>
          <w:sz w:val="32"/>
          <w:szCs w:val="32"/>
        </w:rPr>
      </w:pPr>
      <w:bookmarkStart w:id="73" w:name="_Toc3099"/>
      <w:bookmarkStart w:id="74" w:name="_Toc29466"/>
      <w:r>
        <w:rPr>
          <w:rFonts w:hint="eastAsia" w:ascii="楷体" w:hAnsi="楷体" w:eastAsia="楷体" w:cs="楷体_GB2312"/>
          <w:b/>
          <w:sz w:val="32"/>
          <w:szCs w:val="32"/>
        </w:rPr>
        <w:t>（一）聘用手续办理</w:t>
      </w:r>
      <w:bookmarkEnd w:id="73"/>
      <w:bookmarkEnd w:id="74"/>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公示结果无异议，或经招聘单位会同主管部门核实不影响聘用的，拟聘人员应于公示期满后</w:t>
      </w:r>
      <w:r>
        <w:rPr>
          <w:rFonts w:ascii="仿宋_GB2312" w:eastAsia="仿宋_GB2312"/>
          <w:sz w:val="32"/>
          <w:szCs w:val="32"/>
        </w:rPr>
        <w:t>3</w:t>
      </w:r>
      <w:r>
        <w:rPr>
          <w:rFonts w:hint="eastAsia" w:ascii="仿宋_GB2312" w:eastAsia="仿宋_GB2312"/>
          <w:sz w:val="32"/>
          <w:szCs w:val="32"/>
        </w:rPr>
        <w:t>个月内提供办理聘用手续所需的材料（含个人人事档案），因情况确实特殊、无法在上述期限内提供完备资料的，与招聘单位及其主管部门协商同意并书面承诺后可适当延长材料提交时限（延长时限原则上不超过</w:t>
      </w:r>
      <w:r>
        <w:rPr>
          <w:rFonts w:ascii="仿宋_GB2312" w:eastAsia="仿宋_GB2312"/>
          <w:sz w:val="32"/>
          <w:szCs w:val="32"/>
        </w:rPr>
        <w:t>2</w:t>
      </w:r>
      <w:r>
        <w:rPr>
          <w:rFonts w:hint="eastAsia" w:ascii="仿宋_GB2312" w:eastAsia="仿宋_GB2312"/>
          <w:sz w:val="32"/>
          <w:szCs w:val="32"/>
        </w:rPr>
        <w:t>个月），否则视为放弃聘用资格。</w:t>
      </w:r>
    </w:p>
    <w:p>
      <w:pPr>
        <w:snapToGrid w:val="0"/>
        <w:spacing w:line="560" w:lineRule="exact"/>
        <w:ind w:firstLine="643" w:firstLineChars="200"/>
        <w:outlineLvl w:val="1"/>
        <w:rPr>
          <w:rFonts w:ascii="楷体" w:hAnsi="楷体" w:eastAsia="楷体" w:cs="楷体_GB2312"/>
          <w:b/>
          <w:sz w:val="32"/>
          <w:szCs w:val="32"/>
        </w:rPr>
      </w:pPr>
      <w:bookmarkStart w:id="75" w:name="_Toc9234"/>
      <w:bookmarkStart w:id="76" w:name="_Toc7629"/>
      <w:r>
        <w:rPr>
          <w:rFonts w:hint="eastAsia" w:ascii="楷体" w:hAnsi="楷体" w:eastAsia="楷体" w:cs="楷体_GB2312"/>
          <w:b/>
          <w:sz w:val="32"/>
          <w:szCs w:val="32"/>
        </w:rPr>
        <w:t>（二）岗位聘任</w:t>
      </w:r>
      <w:bookmarkEnd w:id="75"/>
      <w:bookmarkEnd w:id="76"/>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w:t>
      </w:r>
      <w:r>
        <w:rPr>
          <w:rFonts w:ascii="仿宋_GB2312" w:hAnsi="仿宋_GB2312" w:eastAsia="仿宋_GB2312" w:cs="仿宋_GB2312"/>
          <w:sz w:val="32"/>
          <w:szCs w:val="32"/>
        </w:rPr>
        <w:t xml:space="preserve"> </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招聘单位对拟聘人员的聘用须按照事业单位岗位设置管理规定，按本单位发布的招聘岗位类别和级别进行聘任。如招聘单位的拟聘岗位数量不足或拟聘人员不具备相应岗位聘任资格条件的，可实行高职低聘。</w:t>
      </w:r>
    </w:p>
    <w:p>
      <w:pPr>
        <w:snapToGrid w:val="0"/>
        <w:spacing w:line="560" w:lineRule="exact"/>
        <w:ind w:firstLine="640" w:firstLineChars="200"/>
        <w:outlineLvl w:val="0"/>
        <w:rPr>
          <w:rFonts w:ascii="黑体" w:hAnsi="黑体" w:eastAsia="黑体" w:cs="黑体"/>
          <w:bCs/>
          <w:sz w:val="32"/>
          <w:szCs w:val="32"/>
        </w:rPr>
      </w:pPr>
      <w:bookmarkStart w:id="77" w:name="_Toc25133"/>
      <w:r>
        <w:rPr>
          <w:rFonts w:hint="eastAsia" w:ascii="黑体" w:hAnsi="黑体" w:eastAsia="黑体" w:cs="黑体"/>
          <w:bCs/>
          <w:sz w:val="32"/>
          <w:szCs w:val="32"/>
        </w:rPr>
        <w:t>十三、其他需说明事项</w:t>
      </w:r>
      <w:bookmarkEnd w:id="77"/>
    </w:p>
    <w:p>
      <w:pPr>
        <w:snapToGrid w:val="0"/>
        <w:spacing w:line="560" w:lineRule="exact"/>
        <w:ind w:firstLine="643" w:firstLineChars="200"/>
        <w:outlineLvl w:val="2"/>
        <w:rPr>
          <w:rFonts w:ascii="仿宋_GB2312" w:hAnsi="仿宋_GB2312" w:eastAsia="仿宋_GB2312" w:cs="仿宋_GB2312"/>
          <w:b/>
          <w:bCs/>
          <w:sz w:val="32"/>
          <w:szCs w:val="32"/>
        </w:rPr>
      </w:pPr>
      <w:bookmarkStart w:id="78" w:name="_Toc10835"/>
      <w:bookmarkStart w:id="79" w:name="_Toc13485"/>
      <w:r>
        <w:rPr>
          <w:rFonts w:hint="eastAsia" w:ascii="仿宋_GB2312" w:hAnsi="仿宋_GB2312" w:eastAsia="仿宋_GB2312" w:cs="仿宋_GB2312"/>
          <w:b/>
          <w:bCs/>
          <w:sz w:val="32"/>
          <w:szCs w:val="32"/>
        </w:rPr>
        <w:t>（一）职称</w:t>
      </w:r>
      <w:bookmarkEnd w:id="78"/>
      <w:bookmarkEnd w:id="79"/>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岗位资格条件要求的职称是指经社会化评审、全国统一考试或考核确认等方式取得的专业技术职务任职资格，不含通过非公有制企业职称评审方式取得的职称。</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在资格复核时，尚未取得岗位资格条件要求的职称证书的，可提供成绩单（须证明通过考试）、评审通过文件或考核确认表等有效材料。</w:t>
      </w:r>
    </w:p>
    <w:p>
      <w:pPr>
        <w:snapToGrid w:val="0"/>
        <w:spacing w:line="560" w:lineRule="exact"/>
        <w:ind w:firstLine="643" w:firstLineChars="200"/>
        <w:outlineLvl w:val="2"/>
        <w:rPr>
          <w:rFonts w:ascii="仿宋_GB2312" w:hAnsi="仿宋_GB2312" w:eastAsia="仿宋_GB2312" w:cs="仿宋_GB2312"/>
          <w:b/>
          <w:bCs/>
          <w:sz w:val="32"/>
          <w:szCs w:val="32"/>
        </w:rPr>
      </w:pPr>
      <w:bookmarkStart w:id="80" w:name="_Toc10753"/>
      <w:bookmarkStart w:id="81" w:name="_Toc22325"/>
      <w:r>
        <w:rPr>
          <w:rFonts w:hint="eastAsia" w:ascii="仿宋_GB2312" w:hAnsi="仿宋_GB2312" w:eastAsia="仿宋_GB2312" w:cs="仿宋_GB2312"/>
          <w:b/>
          <w:bCs/>
          <w:sz w:val="32"/>
          <w:szCs w:val="32"/>
        </w:rPr>
        <w:t>（二）生源</w:t>
      </w:r>
      <w:bookmarkEnd w:id="80"/>
      <w:bookmarkEnd w:id="81"/>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p>
    <w:p>
      <w:pPr>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入学前户籍在厦门市但学籍不在厦门市的普通教育全日制毕业生；</w:t>
      </w:r>
    </w:p>
    <w:p>
      <w:pPr>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入学前户籍和学籍虽不在厦门市，但本次公开招聘报名截止日前父母或配偶有一方户籍在厦门市的普通教育全日制</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年应届毕业生；</w:t>
      </w:r>
    </w:p>
    <w:p>
      <w:pPr>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根据厦府办〔</w:t>
      </w:r>
      <w:r>
        <w:rPr>
          <w:rFonts w:ascii="仿宋_GB2312" w:hAnsi="仿宋_GB2312" w:eastAsia="仿宋_GB2312" w:cs="仿宋_GB2312"/>
          <w:sz w:val="32"/>
          <w:szCs w:val="32"/>
        </w:rPr>
        <w:t>2011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229</w:t>
      </w:r>
      <w:r>
        <w:rPr>
          <w:rFonts w:hint="eastAsia" w:ascii="仿宋_GB2312" w:hAnsi="仿宋_GB2312" w:eastAsia="仿宋_GB2312" w:cs="仿宋_GB2312"/>
          <w:sz w:val="32"/>
          <w:szCs w:val="32"/>
        </w:rPr>
        <w:t>号文规定来我市就读普通高中且将户籍迁入我市的外来学生，普通高中毕业后从我市考入普通高等院校的全日制普通教育毕业生。</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福建生源类推界定。</w:t>
      </w:r>
    </w:p>
    <w:p>
      <w:pPr>
        <w:snapToGrid w:val="0"/>
        <w:spacing w:line="560" w:lineRule="exact"/>
        <w:ind w:firstLine="643" w:firstLineChars="200"/>
        <w:outlineLvl w:val="2"/>
        <w:rPr>
          <w:rFonts w:ascii="仿宋_GB2312" w:hAnsi="仿宋_GB2312" w:eastAsia="仿宋_GB2312" w:cs="仿宋_GB2312"/>
          <w:b/>
          <w:bCs/>
          <w:sz w:val="32"/>
          <w:szCs w:val="32"/>
        </w:rPr>
      </w:pPr>
      <w:bookmarkStart w:id="82" w:name="_Toc18624"/>
      <w:bookmarkStart w:id="83" w:name="_Toc6854"/>
      <w:r>
        <w:rPr>
          <w:rFonts w:hint="eastAsia" w:ascii="仿宋_GB2312" w:hAnsi="仿宋_GB2312" w:eastAsia="仿宋_GB2312" w:cs="仿宋_GB2312"/>
          <w:b/>
          <w:bCs/>
          <w:sz w:val="32"/>
          <w:szCs w:val="32"/>
        </w:rPr>
        <w:t>（三）港澳台人员</w:t>
      </w:r>
      <w:bookmarkEnd w:id="82"/>
      <w:bookmarkEnd w:id="83"/>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港澳台人员（不得持有外国籍）的招聘，按照国家、省和我市有关规定办理。</w:t>
      </w:r>
    </w:p>
    <w:p>
      <w:pPr>
        <w:snapToGrid w:val="0"/>
        <w:spacing w:line="560" w:lineRule="exact"/>
        <w:ind w:firstLine="643" w:firstLineChars="200"/>
        <w:outlineLvl w:val="2"/>
        <w:rPr>
          <w:rFonts w:ascii="仿宋_GB2312" w:hAnsi="仿宋_GB2312" w:eastAsia="仿宋_GB2312" w:cs="仿宋_GB2312"/>
          <w:b/>
          <w:bCs/>
          <w:sz w:val="32"/>
          <w:szCs w:val="32"/>
        </w:rPr>
      </w:pPr>
      <w:bookmarkStart w:id="84" w:name="_Toc22184"/>
      <w:bookmarkStart w:id="85" w:name="_Toc20602"/>
      <w:r>
        <w:rPr>
          <w:rFonts w:hint="eastAsia" w:ascii="仿宋_GB2312" w:hAnsi="仿宋_GB2312" w:eastAsia="仿宋_GB2312" w:cs="仿宋_GB2312"/>
          <w:b/>
          <w:bCs/>
          <w:sz w:val="32"/>
          <w:szCs w:val="32"/>
        </w:rPr>
        <w:t>（四）技工院校毕业生</w:t>
      </w:r>
      <w:bookmarkEnd w:id="84"/>
      <w:bookmarkEnd w:id="85"/>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技工院校全日制高级工班、预备技师（技师）班毕业，且毕业时已取得相应高级工、预备技师（技师）职业技能等级证书的，经招聘单位及主管部门同意，可分别视同大专、本科学历。</w:t>
      </w:r>
    </w:p>
    <w:p>
      <w:pPr>
        <w:snapToGrid w:val="0"/>
        <w:spacing w:line="560" w:lineRule="exact"/>
        <w:ind w:firstLine="640" w:firstLineChars="200"/>
        <w:outlineLvl w:val="0"/>
        <w:rPr>
          <w:rFonts w:ascii="黑体" w:hAnsi="黑体" w:eastAsia="黑体" w:cs="黑体"/>
          <w:bCs/>
          <w:sz w:val="32"/>
          <w:szCs w:val="32"/>
        </w:rPr>
      </w:pPr>
      <w:bookmarkStart w:id="86" w:name="_Toc20742"/>
      <w:r>
        <w:rPr>
          <w:rFonts w:hint="eastAsia" w:ascii="黑体" w:hAnsi="黑体" w:eastAsia="黑体" w:cs="黑体"/>
          <w:bCs/>
          <w:sz w:val="32"/>
          <w:szCs w:val="32"/>
        </w:rPr>
        <w:t>十四、网上报名操作须知</w:t>
      </w:r>
      <w:bookmarkEnd w:id="86"/>
    </w:p>
    <w:p>
      <w:pPr>
        <w:spacing w:line="560" w:lineRule="exact"/>
        <w:ind w:firstLine="640" w:firstLineChars="200"/>
        <w:rPr>
          <w:rFonts w:ascii="仿宋_GB2312" w:eastAsia="仿宋_GB2312"/>
          <w:sz w:val="32"/>
          <w:szCs w:val="32"/>
        </w:rPr>
      </w:pPr>
      <w:r>
        <w:rPr>
          <w:rFonts w:hint="eastAsia" w:ascii="仿宋_GB2312" w:eastAsia="仿宋_GB2312"/>
          <w:sz w:val="32"/>
          <w:szCs w:val="32"/>
        </w:rPr>
        <w:t>网上报名流程详细操作指南请登录厦门市卫生健康事业单位招聘考试系统（</w:t>
      </w:r>
      <w:r>
        <w:rPr>
          <w:rFonts w:ascii="仿宋_GB2312" w:eastAsia="仿宋_GB2312"/>
          <w:sz w:val="32"/>
          <w:szCs w:val="32"/>
        </w:rPr>
        <w:t>http://120.41.250.30/index.aspx</w:t>
      </w:r>
      <w:r>
        <w:rPr>
          <w:rFonts w:hint="eastAsia" w:ascii="仿宋_GB2312" w:eastAsia="仿宋_GB2312"/>
          <w:sz w:val="32"/>
          <w:szCs w:val="32"/>
        </w:rPr>
        <w:t>）查看报名流程说明模块内容。</w:t>
      </w:r>
    </w:p>
    <w:p>
      <w:pPr>
        <w:snapToGrid w:val="0"/>
        <w:spacing w:line="560" w:lineRule="exact"/>
        <w:ind w:firstLine="640" w:firstLineChars="200"/>
        <w:outlineLvl w:val="0"/>
        <w:rPr>
          <w:rFonts w:ascii="黑体" w:hAnsi="黑体" w:eastAsia="黑体" w:cs="黑体"/>
          <w:bCs/>
          <w:sz w:val="32"/>
          <w:szCs w:val="32"/>
        </w:rPr>
      </w:pPr>
      <w:bookmarkStart w:id="87" w:name="_Toc32090"/>
      <w:r>
        <w:rPr>
          <w:rFonts w:hint="eastAsia" w:ascii="黑体" w:hAnsi="黑体" w:eastAsia="黑体" w:cs="黑体"/>
          <w:bCs/>
          <w:sz w:val="32"/>
          <w:szCs w:val="32"/>
        </w:rPr>
        <w:t>十五、疫情防控要求</w:t>
      </w:r>
      <w:bookmarkEnd w:id="87"/>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疫情防控要求贯穿本次招聘全程，将严格按照厦门市应对新冠肺炎疫情工作指挥部最新部署，严密落实新冠肺炎疫情防控要求，考生务必遵照疫情防控要求，提前做好行程规划，以免错失考试资格。本简章发布之日起至招聘结束，如境内新增中高风险地区，从境内中高风险地区、境外地区来厦的，按我市疫情防控规定执行。</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招聘疫情防控要求请及时关注“报名系统”相关通知。必要时或有疑问，请拨打咨询专线</w:t>
      </w:r>
      <w:r>
        <w:rPr>
          <w:rFonts w:ascii="仿宋_GB2312" w:eastAsia="仿宋_GB2312"/>
          <w:sz w:val="32"/>
          <w:szCs w:val="32"/>
        </w:rPr>
        <w:t>0592-3279055</w:t>
      </w:r>
      <w:r>
        <w:rPr>
          <w:rFonts w:hint="eastAsia" w:ascii="仿宋_GB2312" w:eastAsia="仿宋_GB2312"/>
          <w:sz w:val="32"/>
          <w:szCs w:val="32"/>
        </w:rPr>
        <w:t>获知相关政策信息。瞒报、谎报、不履行相关承诺人员将承担法律责任。</w:t>
      </w:r>
    </w:p>
    <w:sectPr>
      <w:pgSz w:w="11906" w:h="16838"/>
      <w:pgMar w:top="1418" w:right="1474" w:bottom="1418" w:left="1588"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Text Box 1" o:spid="_x0000_s4097"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1u5d9AAAAACAQAADwAAAAAAAAABACAAAAAiAAAAZHJzL2Rvd25yZXYueG1sUEsB&#10;AhQAFAAAAAgAh07iQJwHKdX9AQAADgQAAA4AAAAAAAAAAQAgAAAAHwEAAGRycy9lMm9Eb2MueG1s&#10;UEsFBgAAAAAGAAYAWQEAAI4FAAAAAA==&#1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A16"/>
    <w:rsid w:val="00024CCB"/>
    <w:rsid w:val="000327EA"/>
    <w:rsid w:val="00034B8E"/>
    <w:rsid w:val="0004009B"/>
    <w:rsid w:val="00040619"/>
    <w:rsid w:val="00061345"/>
    <w:rsid w:val="000630F5"/>
    <w:rsid w:val="00083710"/>
    <w:rsid w:val="000930CF"/>
    <w:rsid w:val="0009347B"/>
    <w:rsid w:val="000A75FC"/>
    <w:rsid w:val="000B0FC0"/>
    <w:rsid w:val="000B1E6E"/>
    <w:rsid w:val="000C0BBE"/>
    <w:rsid w:val="000C1A79"/>
    <w:rsid w:val="000D61DB"/>
    <w:rsid w:val="000F4886"/>
    <w:rsid w:val="000F7C63"/>
    <w:rsid w:val="00101C63"/>
    <w:rsid w:val="001141D7"/>
    <w:rsid w:val="00137BC5"/>
    <w:rsid w:val="0014786A"/>
    <w:rsid w:val="001636B1"/>
    <w:rsid w:val="0017480B"/>
    <w:rsid w:val="0017732C"/>
    <w:rsid w:val="001B0419"/>
    <w:rsid w:val="001B41A7"/>
    <w:rsid w:val="001C3B14"/>
    <w:rsid w:val="001C4E27"/>
    <w:rsid w:val="001D0B90"/>
    <w:rsid w:val="001D2812"/>
    <w:rsid w:val="001D2B43"/>
    <w:rsid w:val="001D3F6C"/>
    <w:rsid w:val="001E5952"/>
    <w:rsid w:val="001E744A"/>
    <w:rsid w:val="001F2155"/>
    <w:rsid w:val="001F445A"/>
    <w:rsid w:val="001F633A"/>
    <w:rsid w:val="00202175"/>
    <w:rsid w:val="00203411"/>
    <w:rsid w:val="00213A8B"/>
    <w:rsid w:val="00236AB8"/>
    <w:rsid w:val="002472E9"/>
    <w:rsid w:val="0025439C"/>
    <w:rsid w:val="00260B60"/>
    <w:rsid w:val="00273D3A"/>
    <w:rsid w:val="00283FFF"/>
    <w:rsid w:val="002870B8"/>
    <w:rsid w:val="0029226C"/>
    <w:rsid w:val="002A4346"/>
    <w:rsid w:val="002A4F64"/>
    <w:rsid w:val="002A6E56"/>
    <w:rsid w:val="002A74F9"/>
    <w:rsid w:val="002E7744"/>
    <w:rsid w:val="002F6529"/>
    <w:rsid w:val="0031053B"/>
    <w:rsid w:val="00323E6F"/>
    <w:rsid w:val="00327D0C"/>
    <w:rsid w:val="0033190A"/>
    <w:rsid w:val="003413FD"/>
    <w:rsid w:val="00352943"/>
    <w:rsid w:val="00353F3D"/>
    <w:rsid w:val="003758FD"/>
    <w:rsid w:val="0038584A"/>
    <w:rsid w:val="00390791"/>
    <w:rsid w:val="00393C30"/>
    <w:rsid w:val="0039564C"/>
    <w:rsid w:val="003A7D13"/>
    <w:rsid w:val="003B30DD"/>
    <w:rsid w:val="003B3661"/>
    <w:rsid w:val="003B7EFA"/>
    <w:rsid w:val="003E4385"/>
    <w:rsid w:val="003F123B"/>
    <w:rsid w:val="003F1339"/>
    <w:rsid w:val="003F6248"/>
    <w:rsid w:val="00413DE3"/>
    <w:rsid w:val="004202B2"/>
    <w:rsid w:val="004319DA"/>
    <w:rsid w:val="0043455E"/>
    <w:rsid w:val="00455775"/>
    <w:rsid w:val="00473054"/>
    <w:rsid w:val="004869E0"/>
    <w:rsid w:val="004A42A3"/>
    <w:rsid w:val="004B1561"/>
    <w:rsid w:val="004B2DED"/>
    <w:rsid w:val="004B6278"/>
    <w:rsid w:val="004C2B60"/>
    <w:rsid w:val="004E3ED6"/>
    <w:rsid w:val="00503D56"/>
    <w:rsid w:val="005250F7"/>
    <w:rsid w:val="005345D7"/>
    <w:rsid w:val="00541E5E"/>
    <w:rsid w:val="00544387"/>
    <w:rsid w:val="005519B3"/>
    <w:rsid w:val="00551B2B"/>
    <w:rsid w:val="00555C24"/>
    <w:rsid w:val="00565159"/>
    <w:rsid w:val="00567350"/>
    <w:rsid w:val="00574AF0"/>
    <w:rsid w:val="005846E1"/>
    <w:rsid w:val="005917A9"/>
    <w:rsid w:val="005924A9"/>
    <w:rsid w:val="005A6083"/>
    <w:rsid w:val="005A6E06"/>
    <w:rsid w:val="005B69E2"/>
    <w:rsid w:val="005E4E80"/>
    <w:rsid w:val="005F6CA6"/>
    <w:rsid w:val="0060284B"/>
    <w:rsid w:val="006032E8"/>
    <w:rsid w:val="00607711"/>
    <w:rsid w:val="006103D3"/>
    <w:rsid w:val="00612832"/>
    <w:rsid w:val="0061384E"/>
    <w:rsid w:val="006158CB"/>
    <w:rsid w:val="006213DD"/>
    <w:rsid w:val="00621ACA"/>
    <w:rsid w:val="006223EA"/>
    <w:rsid w:val="006229D9"/>
    <w:rsid w:val="00631E9A"/>
    <w:rsid w:val="00645369"/>
    <w:rsid w:val="006542B0"/>
    <w:rsid w:val="00665DA5"/>
    <w:rsid w:val="00681410"/>
    <w:rsid w:val="006819D7"/>
    <w:rsid w:val="006833C8"/>
    <w:rsid w:val="0069064B"/>
    <w:rsid w:val="006A3257"/>
    <w:rsid w:val="006A506D"/>
    <w:rsid w:val="006A5852"/>
    <w:rsid w:val="006D5211"/>
    <w:rsid w:val="006E3BAA"/>
    <w:rsid w:val="006E6AD9"/>
    <w:rsid w:val="00702F8A"/>
    <w:rsid w:val="00702FFE"/>
    <w:rsid w:val="007220D0"/>
    <w:rsid w:val="00723CB1"/>
    <w:rsid w:val="007400FA"/>
    <w:rsid w:val="00756EC5"/>
    <w:rsid w:val="007705E8"/>
    <w:rsid w:val="00777E4A"/>
    <w:rsid w:val="00790DAD"/>
    <w:rsid w:val="00791B25"/>
    <w:rsid w:val="00791D16"/>
    <w:rsid w:val="0079431B"/>
    <w:rsid w:val="007967EA"/>
    <w:rsid w:val="007C1B59"/>
    <w:rsid w:val="007C4212"/>
    <w:rsid w:val="007D437E"/>
    <w:rsid w:val="007E41A3"/>
    <w:rsid w:val="007F533F"/>
    <w:rsid w:val="0080368F"/>
    <w:rsid w:val="008132CA"/>
    <w:rsid w:val="0081411A"/>
    <w:rsid w:val="00816170"/>
    <w:rsid w:val="00832857"/>
    <w:rsid w:val="0083620D"/>
    <w:rsid w:val="00851AA4"/>
    <w:rsid w:val="008610BF"/>
    <w:rsid w:val="00872411"/>
    <w:rsid w:val="00877227"/>
    <w:rsid w:val="00880A89"/>
    <w:rsid w:val="00881AA0"/>
    <w:rsid w:val="00890918"/>
    <w:rsid w:val="00895091"/>
    <w:rsid w:val="008A5364"/>
    <w:rsid w:val="008B3964"/>
    <w:rsid w:val="008B603D"/>
    <w:rsid w:val="008B79ED"/>
    <w:rsid w:val="008C18B4"/>
    <w:rsid w:val="008D1852"/>
    <w:rsid w:val="008D2E0E"/>
    <w:rsid w:val="008D3DDE"/>
    <w:rsid w:val="008D7A46"/>
    <w:rsid w:val="00905C34"/>
    <w:rsid w:val="00913B6C"/>
    <w:rsid w:val="009241E8"/>
    <w:rsid w:val="00940152"/>
    <w:rsid w:val="00950F30"/>
    <w:rsid w:val="00954E45"/>
    <w:rsid w:val="009560B2"/>
    <w:rsid w:val="00962CC8"/>
    <w:rsid w:val="00972D58"/>
    <w:rsid w:val="00977936"/>
    <w:rsid w:val="009A3578"/>
    <w:rsid w:val="009A5389"/>
    <w:rsid w:val="009D0DDC"/>
    <w:rsid w:val="009D6F29"/>
    <w:rsid w:val="009D7416"/>
    <w:rsid w:val="009E4603"/>
    <w:rsid w:val="009E4D11"/>
    <w:rsid w:val="00A01963"/>
    <w:rsid w:val="00A038E2"/>
    <w:rsid w:val="00A06918"/>
    <w:rsid w:val="00A1489E"/>
    <w:rsid w:val="00A217A8"/>
    <w:rsid w:val="00A268DE"/>
    <w:rsid w:val="00A55CD4"/>
    <w:rsid w:val="00A57868"/>
    <w:rsid w:val="00A65DD2"/>
    <w:rsid w:val="00A74F77"/>
    <w:rsid w:val="00A805DA"/>
    <w:rsid w:val="00A84DFE"/>
    <w:rsid w:val="00AA508C"/>
    <w:rsid w:val="00AA6BF1"/>
    <w:rsid w:val="00AB091A"/>
    <w:rsid w:val="00AB1E03"/>
    <w:rsid w:val="00AB27E1"/>
    <w:rsid w:val="00AB6A05"/>
    <w:rsid w:val="00AC5AF4"/>
    <w:rsid w:val="00AD73CA"/>
    <w:rsid w:val="00AF6D23"/>
    <w:rsid w:val="00B012B9"/>
    <w:rsid w:val="00B215F6"/>
    <w:rsid w:val="00B24F71"/>
    <w:rsid w:val="00B26EC3"/>
    <w:rsid w:val="00B27716"/>
    <w:rsid w:val="00B30772"/>
    <w:rsid w:val="00B32262"/>
    <w:rsid w:val="00B42C35"/>
    <w:rsid w:val="00B46E15"/>
    <w:rsid w:val="00B84020"/>
    <w:rsid w:val="00B8435D"/>
    <w:rsid w:val="00B91E17"/>
    <w:rsid w:val="00BA29B7"/>
    <w:rsid w:val="00BA31A7"/>
    <w:rsid w:val="00BB2B71"/>
    <w:rsid w:val="00BF0C5A"/>
    <w:rsid w:val="00BF1AB4"/>
    <w:rsid w:val="00BF58CD"/>
    <w:rsid w:val="00C009D9"/>
    <w:rsid w:val="00C10BBC"/>
    <w:rsid w:val="00C11140"/>
    <w:rsid w:val="00C14388"/>
    <w:rsid w:val="00C2186B"/>
    <w:rsid w:val="00C2304E"/>
    <w:rsid w:val="00C37E04"/>
    <w:rsid w:val="00C52E4B"/>
    <w:rsid w:val="00C66186"/>
    <w:rsid w:val="00C71E92"/>
    <w:rsid w:val="00C8052F"/>
    <w:rsid w:val="00C8405A"/>
    <w:rsid w:val="00C845B5"/>
    <w:rsid w:val="00C91D8A"/>
    <w:rsid w:val="00C94477"/>
    <w:rsid w:val="00CA19DD"/>
    <w:rsid w:val="00CA3A16"/>
    <w:rsid w:val="00CA562B"/>
    <w:rsid w:val="00CA6F69"/>
    <w:rsid w:val="00CE1961"/>
    <w:rsid w:val="00CE73F4"/>
    <w:rsid w:val="00D01918"/>
    <w:rsid w:val="00D03D42"/>
    <w:rsid w:val="00D04760"/>
    <w:rsid w:val="00D07CFE"/>
    <w:rsid w:val="00D17020"/>
    <w:rsid w:val="00D34958"/>
    <w:rsid w:val="00D37E5D"/>
    <w:rsid w:val="00D402E6"/>
    <w:rsid w:val="00D40F5F"/>
    <w:rsid w:val="00D43CF0"/>
    <w:rsid w:val="00D47F20"/>
    <w:rsid w:val="00D55052"/>
    <w:rsid w:val="00D56A01"/>
    <w:rsid w:val="00D86DD5"/>
    <w:rsid w:val="00DA3C97"/>
    <w:rsid w:val="00DA5FC0"/>
    <w:rsid w:val="00DA7FB5"/>
    <w:rsid w:val="00DB0B27"/>
    <w:rsid w:val="00DB223A"/>
    <w:rsid w:val="00DD58E0"/>
    <w:rsid w:val="00DF4534"/>
    <w:rsid w:val="00DF4702"/>
    <w:rsid w:val="00E008D4"/>
    <w:rsid w:val="00E024DE"/>
    <w:rsid w:val="00E20B63"/>
    <w:rsid w:val="00E263FF"/>
    <w:rsid w:val="00E43EED"/>
    <w:rsid w:val="00E45BCB"/>
    <w:rsid w:val="00E501FF"/>
    <w:rsid w:val="00E64BFF"/>
    <w:rsid w:val="00E85A5E"/>
    <w:rsid w:val="00E9038F"/>
    <w:rsid w:val="00EA31FA"/>
    <w:rsid w:val="00EA35A1"/>
    <w:rsid w:val="00EB4277"/>
    <w:rsid w:val="00EC0FDE"/>
    <w:rsid w:val="00EE4163"/>
    <w:rsid w:val="00EE7384"/>
    <w:rsid w:val="00F02F65"/>
    <w:rsid w:val="00F0419D"/>
    <w:rsid w:val="00F07FBE"/>
    <w:rsid w:val="00F12DD7"/>
    <w:rsid w:val="00F135AC"/>
    <w:rsid w:val="00F2449F"/>
    <w:rsid w:val="00F24AC9"/>
    <w:rsid w:val="00F32C9A"/>
    <w:rsid w:val="00F34B3F"/>
    <w:rsid w:val="00F44D41"/>
    <w:rsid w:val="00F5073D"/>
    <w:rsid w:val="00F5464A"/>
    <w:rsid w:val="00F5550C"/>
    <w:rsid w:val="00F60F54"/>
    <w:rsid w:val="00F62B73"/>
    <w:rsid w:val="00F65A11"/>
    <w:rsid w:val="00F8296D"/>
    <w:rsid w:val="00F84DA1"/>
    <w:rsid w:val="00FC084C"/>
    <w:rsid w:val="00FC43B7"/>
    <w:rsid w:val="00FC74FA"/>
    <w:rsid w:val="00FC7AD4"/>
    <w:rsid w:val="012E4057"/>
    <w:rsid w:val="01706B3D"/>
    <w:rsid w:val="029C19EF"/>
    <w:rsid w:val="02AF79A2"/>
    <w:rsid w:val="039D63E2"/>
    <w:rsid w:val="04135678"/>
    <w:rsid w:val="0431644B"/>
    <w:rsid w:val="04433323"/>
    <w:rsid w:val="05AC43BD"/>
    <w:rsid w:val="060D0DBE"/>
    <w:rsid w:val="063C65E5"/>
    <w:rsid w:val="06B534C8"/>
    <w:rsid w:val="06D75243"/>
    <w:rsid w:val="0A2926EC"/>
    <w:rsid w:val="0ABE0466"/>
    <w:rsid w:val="0B5922A8"/>
    <w:rsid w:val="0C42075F"/>
    <w:rsid w:val="0C62192F"/>
    <w:rsid w:val="0C9537CF"/>
    <w:rsid w:val="0CFA7F8B"/>
    <w:rsid w:val="0DEB4583"/>
    <w:rsid w:val="0EC36EF9"/>
    <w:rsid w:val="0EEC0086"/>
    <w:rsid w:val="0EFC1000"/>
    <w:rsid w:val="0FBC11D1"/>
    <w:rsid w:val="111C3579"/>
    <w:rsid w:val="11D50F5D"/>
    <w:rsid w:val="127C59E8"/>
    <w:rsid w:val="12B17B3E"/>
    <w:rsid w:val="135A5B2F"/>
    <w:rsid w:val="137A7CA3"/>
    <w:rsid w:val="138627FC"/>
    <w:rsid w:val="15714F96"/>
    <w:rsid w:val="15D95F9E"/>
    <w:rsid w:val="18DC4FBF"/>
    <w:rsid w:val="1A6D1194"/>
    <w:rsid w:val="1AB346D2"/>
    <w:rsid w:val="1E381C14"/>
    <w:rsid w:val="1FAD1DE7"/>
    <w:rsid w:val="206474C3"/>
    <w:rsid w:val="20AB3B48"/>
    <w:rsid w:val="20D11DC7"/>
    <w:rsid w:val="2107136B"/>
    <w:rsid w:val="212E6965"/>
    <w:rsid w:val="21CD6AB5"/>
    <w:rsid w:val="21F41D88"/>
    <w:rsid w:val="23166DCE"/>
    <w:rsid w:val="23DA0315"/>
    <w:rsid w:val="242714D3"/>
    <w:rsid w:val="248C709C"/>
    <w:rsid w:val="25454C78"/>
    <w:rsid w:val="25637318"/>
    <w:rsid w:val="25B64A56"/>
    <w:rsid w:val="262877F4"/>
    <w:rsid w:val="27434329"/>
    <w:rsid w:val="28654F9C"/>
    <w:rsid w:val="29DC3048"/>
    <w:rsid w:val="2A681CA7"/>
    <w:rsid w:val="2AB93EDB"/>
    <w:rsid w:val="2BE45FCF"/>
    <w:rsid w:val="2C0C1B4F"/>
    <w:rsid w:val="2CE962FD"/>
    <w:rsid w:val="2D0A1C91"/>
    <w:rsid w:val="2D146264"/>
    <w:rsid w:val="2D1620D0"/>
    <w:rsid w:val="2D3D3232"/>
    <w:rsid w:val="2D8F5E9A"/>
    <w:rsid w:val="2E10141D"/>
    <w:rsid w:val="2EBF1CF7"/>
    <w:rsid w:val="2ED55ABF"/>
    <w:rsid w:val="2F5A04DD"/>
    <w:rsid w:val="2FCF1868"/>
    <w:rsid w:val="2FF31FA0"/>
    <w:rsid w:val="30F8458A"/>
    <w:rsid w:val="3112736D"/>
    <w:rsid w:val="32290246"/>
    <w:rsid w:val="330D7063"/>
    <w:rsid w:val="331D1B45"/>
    <w:rsid w:val="34054802"/>
    <w:rsid w:val="34171B12"/>
    <w:rsid w:val="36254EF0"/>
    <w:rsid w:val="36433543"/>
    <w:rsid w:val="36541C68"/>
    <w:rsid w:val="377914C1"/>
    <w:rsid w:val="37AE5CF9"/>
    <w:rsid w:val="387E7A86"/>
    <w:rsid w:val="38A17E31"/>
    <w:rsid w:val="3A4A0A80"/>
    <w:rsid w:val="3CAA7142"/>
    <w:rsid w:val="3D3C6670"/>
    <w:rsid w:val="3D5926B2"/>
    <w:rsid w:val="3EEB66C3"/>
    <w:rsid w:val="40280F9C"/>
    <w:rsid w:val="41FD4244"/>
    <w:rsid w:val="42C63DEC"/>
    <w:rsid w:val="431A4FDF"/>
    <w:rsid w:val="442E0643"/>
    <w:rsid w:val="45C66CF9"/>
    <w:rsid w:val="45D103AB"/>
    <w:rsid w:val="46DF3096"/>
    <w:rsid w:val="47240519"/>
    <w:rsid w:val="47385556"/>
    <w:rsid w:val="48613330"/>
    <w:rsid w:val="48C75D1F"/>
    <w:rsid w:val="4C9B4511"/>
    <w:rsid w:val="4D667BAF"/>
    <w:rsid w:val="4E073F0E"/>
    <w:rsid w:val="4EBD7FB6"/>
    <w:rsid w:val="4EC918D2"/>
    <w:rsid w:val="4EE73456"/>
    <w:rsid w:val="50247421"/>
    <w:rsid w:val="50B679B6"/>
    <w:rsid w:val="51C74C19"/>
    <w:rsid w:val="52FB3729"/>
    <w:rsid w:val="53564D9D"/>
    <w:rsid w:val="540313D5"/>
    <w:rsid w:val="54EC7875"/>
    <w:rsid w:val="56BE477A"/>
    <w:rsid w:val="576F2D86"/>
    <w:rsid w:val="579E6CD9"/>
    <w:rsid w:val="595208AE"/>
    <w:rsid w:val="5A551433"/>
    <w:rsid w:val="5A5E4973"/>
    <w:rsid w:val="5A6E3F82"/>
    <w:rsid w:val="5A9340A0"/>
    <w:rsid w:val="5AAA10A0"/>
    <w:rsid w:val="5C033BC0"/>
    <w:rsid w:val="5C620362"/>
    <w:rsid w:val="5C976E58"/>
    <w:rsid w:val="5DFF4EA3"/>
    <w:rsid w:val="5E2A45A0"/>
    <w:rsid w:val="5EAB5FC1"/>
    <w:rsid w:val="5F3A704F"/>
    <w:rsid w:val="602A3FA6"/>
    <w:rsid w:val="62CE64A0"/>
    <w:rsid w:val="633A3546"/>
    <w:rsid w:val="64B21849"/>
    <w:rsid w:val="651B3498"/>
    <w:rsid w:val="6529276A"/>
    <w:rsid w:val="65561D37"/>
    <w:rsid w:val="662218A6"/>
    <w:rsid w:val="67587B68"/>
    <w:rsid w:val="699B2168"/>
    <w:rsid w:val="6A1F5B15"/>
    <w:rsid w:val="6ACA2314"/>
    <w:rsid w:val="6BE172C8"/>
    <w:rsid w:val="6D9912B9"/>
    <w:rsid w:val="6F122394"/>
    <w:rsid w:val="6FEE47F4"/>
    <w:rsid w:val="70A77D58"/>
    <w:rsid w:val="70A854E5"/>
    <w:rsid w:val="70EA56E6"/>
    <w:rsid w:val="70EE53CD"/>
    <w:rsid w:val="736B2384"/>
    <w:rsid w:val="746F7336"/>
    <w:rsid w:val="747852FC"/>
    <w:rsid w:val="75CD167C"/>
    <w:rsid w:val="777506C5"/>
    <w:rsid w:val="77EC41DA"/>
    <w:rsid w:val="785B6B77"/>
    <w:rsid w:val="78E77648"/>
    <w:rsid w:val="796D3657"/>
    <w:rsid w:val="7A595755"/>
    <w:rsid w:val="7BF511F2"/>
    <w:rsid w:val="7DA302C5"/>
    <w:rsid w:val="7DA6165A"/>
    <w:rsid w:val="7DD8399D"/>
    <w:rsid w:val="7F526B1C"/>
    <w:rsid w:val="7FE650A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locked/>
    <w:uiPriority w:val="99"/>
    <w:pPr>
      <w:keepNext/>
      <w:keepLines/>
      <w:spacing w:line="576" w:lineRule="auto"/>
      <w:outlineLvl w:val="0"/>
    </w:pPr>
    <w:rPr>
      <w:b/>
      <w:kern w:val="44"/>
      <w:sz w:val="22"/>
    </w:rPr>
  </w:style>
  <w:style w:type="character" w:default="1" w:styleId="11">
    <w:name w:val="Default Paragraph Font"/>
    <w:semiHidden/>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semiHidden/>
    <w:qFormat/>
    <w:uiPriority w:val="99"/>
    <w:pPr>
      <w:jc w:val="left"/>
    </w:pPr>
    <w:rPr>
      <w:rFonts w:ascii="Times New Roman" w:hAnsi="Times New Roman"/>
      <w:kern w:val="0"/>
      <w:sz w:val="20"/>
      <w:szCs w:val="20"/>
    </w:rPr>
  </w:style>
  <w:style w:type="paragraph" w:styleId="4">
    <w:name w:val="toc 3"/>
    <w:basedOn w:val="1"/>
    <w:next w:val="1"/>
    <w:qFormat/>
    <w:uiPriority w:val="99"/>
    <w:pPr>
      <w:ind w:left="840" w:leftChars="400"/>
    </w:pPr>
  </w:style>
  <w:style w:type="paragraph" w:styleId="5">
    <w:name w:val="Balloon Text"/>
    <w:basedOn w:val="1"/>
    <w:link w:val="17"/>
    <w:semiHidden/>
    <w:qFormat/>
    <w:uiPriority w:val="99"/>
    <w:rPr>
      <w:rFonts w:ascii="Times New Roman" w:hAnsi="Times New Roman"/>
      <w:kern w:val="0"/>
      <w:sz w:val="2"/>
      <w:szCs w:val="20"/>
    </w:rPr>
  </w:style>
  <w:style w:type="paragraph" w:styleId="6">
    <w:name w:val="footer"/>
    <w:basedOn w:val="1"/>
    <w:link w:val="18"/>
    <w:qFormat/>
    <w:uiPriority w:val="99"/>
    <w:pPr>
      <w:tabs>
        <w:tab w:val="center" w:pos="4153"/>
        <w:tab w:val="right" w:pos="8306"/>
      </w:tabs>
      <w:snapToGrid w:val="0"/>
      <w:jc w:val="left"/>
    </w:pPr>
    <w:rPr>
      <w:rFonts w:ascii="Times New Roman" w:hAnsi="Times New Roman"/>
      <w:kern w:val="0"/>
      <w:sz w:val="18"/>
      <w:szCs w:val="18"/>
    </w:rPr>
  </w:style>
  <w:style w:type="paragraph" w:styleId="7">
    <w:name w:val="header"/>
    <w:basedOn w:val="1"/>
    <w:link w:val="19"/>
    <w:semiHidden/>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8">
    <w:name w:val="toc 1"/>
    <w:basedOn w:val="1"/>
    <w:next w:val="1"/>
    <w:qFormat/>
    <w:uiPriority w:val="99"/>
  </w:style>
  <w:style w:type="paragraph" w:styleId="9">
    <w:name w:val="toc 2"/>
    <w:basedOn w:val="1"/>
    <w:next w:val="1"/>
    <w:qFormat/>
    <w:uiPriority w:val="99"/>
    <w:pPr>
      <w:ind w:left="420" w:leftChars="200"/>
    </w:pPr>
  </w:style>
  <w:style w:type="character" w:styleId="12">
    <w:name w:val="FollowedHyperlink"/>
    <w:basedOn w:val="11"/>
    <w:qFormat/>
    <w:uiPriority w:val="99"/>
    <w:rPr>
      <w:rFonts w:cs="Times New Roman"/>
      <w:color w:val="800080"/>
      <w:u w:val="single"/>
    </w:rPr>
  </w:style>
  <w:style w:type="character" w:styleId="13">
    <w:name w:val="Hyperlink"/>
    <w:basedOn w:val="11"/>
    <w:qFormat/>
    <w:uiPriority w:val="99"/>
    <w:rPr>
      <w:rFonts w:cs="Times New Roman"/>
      <w:color w:val="0000FF"/>
      <w:u w:val="single"/>
    </w:rPr>
  </w:style>
  <w:style w:type="character" w:styleId="14">
    <w:name w:val="annotation reference"/>
    <w:basedOn w:val="11"/>
    <w:semiHidden/>
    <w:qFormat/>
    <w:uiPriority w:val="99"/>
    <w:rPr>
      <w:rFonts w:cs="Times New Roman"/>
      <w:sz w:val="21"/>
    </w:rPr>
  </w:style>
  <w:style w:type="character" w:customStyle="1" w:styleId="15">
    <w:name w:val="Heading 1 Char"/>
    <w:basedOn w:val="11"/>
    <w:link w:val="2"/>
    <w:qFormat/>
    <w:locked/>
    <w:uiPriority w:val="99"/>
    <w:rPr>
      <w:rFonts w:ascii="Calibri" w:hAnsi="Calibri" w:eastAsia="宋体" w:cs="Times New Roman"/>
      <w:b/>
      <w:kern w:val="44"/>
      <w:sz w:val="22"/>
      <w:lang w:val="en-US" w:eastAsia="zh-CN"/>
    </w:rPr>
  </w:style>
  <w:style w:type="character" w:customStyle="1" w:styleId="16">
    <w:name w:val="Comment Text Char"/>
    <w:basedOn w:val="11"/>
    <w:link w:val="3"/>
    <w:semiHidden/>
    <w:qFormat/>
    <w:locked/>
    <w:uiPriority w:val="99"/>
    <w:rPr>
      <w:rFonts w:cs="Times New Roman"/>
    </w:rPr>
  </w:style>
  <w:style w:type="character" w:customStyle="1" w:styleId="17">
    <w:name w:val="Balloon Text Char"/>
    <w:basedOn w:val="11"/>
    <w:link w:val="5"/>
    <w:semiHidden/>
    <w:qFormat/>
    <w:locked/>
    <w:uiPriority w:val="99"/>
    <w:rPr>
      <w:rFonts w:cs="Times New Roman"/>
      <w:sz w:val="2"/>
    </w:rPr>
  </w:style>
  <w:style w:type="character" w:customStyle="1" w:styleId="18">
    <w:name w:val="Footer Char"/>
    <w:basedOn w:val="11"/>
    <w:link w:val="6"/>
    <w:qFormat/>
    <w:locked/>
    <w:uiPriority w:val="99"/>
    <w:rPr>
      <w:rFonts w:cs="Times New Roman"/>
      <w:sz w:val="18"/>
    </w:rPr>
  </w:style>
  <w:style w:type="character" w:customStyle="1" w:styleId="19">
    <w:name w:val="Header Char"/>
    <w:basedOn w:val="11"/>
    <w:link w:val="7"/>
    <w:semiHidden/>
    <w:qFormat/>
    <w:locked/>
    <w:uiPriority w:val="99"/>
    <w:rPr>
      <w:rFonts w:cs="Times New Roman"/>
      <w:sz w:val="18"/>
    </w:rPr>
  </w:style>
  <w:style w:type="paragraph" w:customStyle="1" w:styleId="20">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21">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17</Pages>
  <Words>1590</Words>
  <Characters>9063</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2021-11-22T01:41:00Z</dcterms:created>
  <dc:creator>dell</dc:creator>
  <cp:lastModifiedBy>Lose</cp:lastModifiedBy>
  <cp:lastPrinted>2022-03-29T06:50:00Z</cp:lastPrinted>
  <dcterms:modified xsi:type="dcterms:W3CDTF">2022-04-01T02:35:38Z</dcterms:modified>
  <dc:title>附件1：厦门市同安区所属卫生事业单位</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42882CAAEA9949CC9D688A5DF45D0C52</vt:lpwstr>
  </property>
</Properties>
</file>