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惠城区2022年公益性岗位报名表</w:t>
      </w:r>
    </w:p>
    <w:p>
      <w:pPr>
        <w:rPr>
          <w:rFonts w:hint="eastAsia"/>
          <w:sz w:val="24"/>
        </w:rPr>
      </w:pPr>
    </w:p>
    <w:p>
      <w:pPr>
        <w:ind w:firstLine="4560" w:firstLineChars="19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填表日期：      年   月   日</w:t>
      </w:r>
    </w:p>
    <w:p>
      <w:pPr>
        <w:rPr>
          <w:rFonts w:hint="eastAsia"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1217"/>
        <w:gridCol w:w="812"/>
        <w:gridCol w:w="406"/>
        <w:gridCol w:w="406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身份核实意见（乡镇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农业农村办或区乡村振兴局核验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46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就业困难人员身份核验（区人社局就业服务部核验）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2022-03-21T09:53:07Z</dcterms:created>
  <dc:creator>Administrator</dc:creator>
  <cp:lastModifiedBy>_许小许_</cp:lastModifiedBy>
  <dcterms:modified xsi:type="dcterms:W3CDTF">2022-03-21T09:53:36Z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18C37E871B334D338A52DC3A9E53E454</vt:lpwstr>
  </property>
</Properties>
</file>