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东阳市文旅投资集团有限公司招工简章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ascii="宋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东阳市文旅投资集团有限公司组建于</w:t>
      </w:r>
      <w:r>
        <w:rPr>
          <w:rFonts w:ascii="宋体" w:hAnsi="宋体"/>
          <w:sz w:val="28"/>
          <w:szCs w:val="28"/>
        </w:rPr>
        <w:t>2021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月，注册资本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亿元整，是市政府直属正科级国有企业。集团下辖卢宅景区爱必侬分公司、木雕博物馆发展有限公司、东白山旅游投资有限公司、东白山茶业有限责任公司等分（子）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司。定位为文化相关产业开发运营平台，性质为功能类企业。主要负责全市文化、旅游、体育、影视产业的投资建设、项目经营和管理，以及相关区块的综合开发。现因集团发展需要，面向社会公开招聘工作人员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名。</w:t>
      </w:r>
      <w:r>
        <w:rPr>
          <w:rFonts w:hint="eastAsia" w:ascii="宋体" w:hAnsi="宋体"/>
          <w:sz w:val="28"/>
          <w:szCs w:val="28"/>
          <w:lang w:val="en-US" w:eastAsia="zh-CN"/>
        </w:rPr>
        <w:t>联系</w:t>
      </w:r>
      <w:r>
        <w:rPr>
          <w:rFonts w:hint="eastAsia" w:ascii="宋体" w:hAnsi="宋体"/>
          <w:sz w:val="28"/>
          <w:szCs w:val="28"/>
        </w:rPr>
        <w:t>地址：东阳市吴宁街道卢宅街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号二楼</w:t>
      </w:r>
      <w:r>
        <w:rPr>
          <w:rFonts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</w:rPr>
        <w:t>办公室（党建人事部）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联系人：徐乐琴</w:t>
      </w:r>
      <w:r>
        <w:rPr>
          <w:rFonts w:ascii="宋体" w:hAnsi="宋体"/>
          <w:sz w:val="28"/>
          <w:szCs w:val="28"/>
        </w:rPr>
        <w:t xml:space="preserve">  0579-86010332</w:t>
      </w:r>
    </w:p>
    <w:p>
      <w:pPr>
        <w:rPr>
          <w:rFonts w:ascii="宋体" w:hAnsi="宋体"/>
          <w:sz w:val="28"/>
          <w:szCs w:val="28"/>
        </w:rPr>
      </w:pP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55"/>
        <w:gridCol w:w="1185"/>
        <w:gridCol w:w="855"/>
        <w:gridCol w:w="585"/>
        <w:gridCol w:w="915"/>
        <w:gridCol w:w="1590"/>
        <w:gridCol w:w="2385"/>
        <w:gridCol w:w="1515"/>
        <w:gridCol w:w="2775"/>
        <w:gridCol w:w="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用工单位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职称或证书</w:t>
            </w:r>
          </w:p>
        </w:tc>
        <w:tc>
          <w:tcPr>
            <w:tcW w:w="9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 w:colFirst="1" w:colLast="9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东阳市文旅投资集团有限公司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集团总部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电子信息类、计算机类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东阳市文旅投资集团有限公司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东阳市东白山旅游投资有限公司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会计学、财务管理、审计学、财政学、税收学、统计学、经济统计学、统计学、应用统计学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中级会计师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</w:rPr>
              <w:t>年以上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含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2"/>
              </w:rPr>
              <w:t>企业财务岗位经验，具备全面的财务专业知识，熟悉会计准则及相关的财税政策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东阳市文旅投资集团有限公司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东阳市木雕博物馆发展有限公司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会计学、财务管理、审计学、财政学、税收学、统计学、经济统计学、统计学、应用统计学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中级会计师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</w:rPr>
              <w:t>年以上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含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2"/>
              </w:rPr>
              <w:t>企业财务岗位经验，具备全面的财务专业知识，熟悉会计准则及相关的财税政策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东阳市文旅投资集团有限公司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千万工程展示馆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讲解员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导游资格证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工作地点南马，女性，户籍东阳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A类</w:t>
            </w:r>
          </w:p>
        </w:tc>
      </w:tr>
      <w:bookmarkEnd w:id="0"/>
    </w:tbl>
    <w:p>
      <w:pPr>
        <w:rPr>
          <w:rFonts w:ascii="宋体"/>
          <w:sz w:val="28"/>
          <w:szCs w:val="28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E3"/>
    <w:rsid w:val="000172A6"/>
    <w:rsid w:val="000372F5"/>
    <w:rsid w:val="00070BB4"/>
    <w:rsid w:val="000B30DA"/>
    <w:rsid w:val="000E3097"/>
    <w:rsid w:val="00130E6E"/>
    <w:rsid w:val="001637F2"/>
    <w:rsid w:val="0019174F"/>
    <w:rsid w:val="001A39F1"/>
    <w:rsid w:val="001F2F0F"/>
    <w:rsid w:val="00215C25"/>
    <w:rsid w:val="002632E3"/>
    <w:rsid w:val="002A7658"/>
    <w:rsid w:val="002B5FFA"/>
    <w:rsid w:val="00304A4A"/>
    <w:rsid w:val="003317E5"/>
    <w:rsid w:val="00367076"/>
    <w:rsid w:val="00376335"/>
    <w:rsid w:val="003A2E77"/>
    <w:rsid w:val="003A452B"/>
    <w:rsid w:val="003C1EDA"/>
    <w:rsid w:val="004440F4"/>
    <w:rsid w:val="004C70C1"/>
    <w:rsid w:val="004F6F0E"/>
    <w:rsid w:val="005144E1"/>
    <w:rsid w:val="005158C0"/>
    <w:rsid w:val="00592AE1"/>
    <w:rsid w:val="00594699"/>
    <w:rsid w:val="005D3F1A"/>
    <w:rsid w:val="005F178C"/>
    <w:rsid w:val="006079DD"/>
    <w:rsid w:val="00687BA8"/>
    <w:rsid w:val="006D4E05"/>
    <w:rsid w:val="00710546"/>
    <w:rsid w:val="007625D5"/>
    <w:rsid w:val="007D1977"/>
    <w:rsid w:val="00836782"/>
    <w:rsid w:val="00850528"/>
    <w:rsid w:val="008A310E"/>
    <w:rsid w:val="00947946"/>
    <w:rsid w:val="00984216"/>
    <w:rsid w:val="009A317F"/>
    <w:rsid w:val="009E4D73"/>
    <w:rsid w:val="009E5619"/>
    <w:rsid w:val="00A716DA"/>
    <w:rsid w:val="00AA10CF"/>
    <w:rsid w:val="00AE6DD2"/>
    <w:rsid w:val="00AF4CB4"/>
    <w:rsid w:val="00B15391"/>
    <w:rsid w:val="00BA14D8"/>
    <w:rsid w:val="00C01B79"/>
    <w:rsid w:val="00C74B69"/>
    <w:rsid w:val="00CC762A"/>
    <w:rsid w:val="00CD5E9B"/>
    <w:rsid w:val="00D81780"/>
    <w:rsid w:val="00DC2804"/>
    <w:rsid w:val="00DF58ED"/>
    <w:rsid w:val="00E2484A"/>
    <w:rsid w:val="00ED0233"/>
    <w:rsid w:val="00ED5CB7"/>
    <w:rsid w:val="00EE243D"/>
    <w:rsid w:val="00EE38F5"/>
    <w:rsid w:val="00EF2224"/>
    <w:rsid w:val="00F64CFB"/>
    <w:rsid w:val="00FA09DE"/>
    <w:rsid w:val="00FF2794"/>
    <w:rsid w:val="01262DA2"/>
    <w:rsid w:val="032F7212"/>
    <w:rsid w:val="0530678A"/>
    <w:rsid w:val="05B41169"/>
    <w:rsid w:val="08606D00"/>
    <w:rsid w:val="086C5D2B"/>
    <w:rsid w:val="0AD50684"/>
    <w:rsid w:val="0E241DC2"/>
    <w:rsid w:val="0E2515F0"/>
    <w:rsid w:val="0E862CE7"/>
    <w:rsid w:val="0EC10EE2"/>
    <w:rsid w:val="11A55E09"/>
    <w:rsid w:val="158A026C"/>
    <w:rsid w:val="1685453A"/>
    <w:rsid w:val="18B711ED"/>
    <w:rsid w:val="1A5B79AD"/>
    <w:rsid w:val="1AB377E9"/>
    <w:rsid w:val="1CF928A3"/>
    <w:rsid w:val="1D3F36BB"/>
    <w:rsid w:val="27714BC3"/>
    <w:rsid w:val="28460555"/>
    <w:rsid w:val="296C0D52"/>
    <w:rsid w:val="2F8037F4"/>
    <w:rsid w:val="33BA5645"/>
    <w:rsid w:val="37E62B54"/>
    <w:rsid w:val="380F2D8E"/>
    <w:rsid w:val="3A8536C9"/>
    <w:rsid w:val="3B734D87"/>
    <w:rsid w:val="3E5019CA"/>
    <w:rsid w:val="3F403168"/>
    <w:rsid w:val="3F6A520D"/>
    <w:rsid w:val="454C7F35"/>
    <w:rsid w:val="462D3B1A"/>
    <w:rsid w:val="46961660"/>
    <w:rsid w:val="47943E0C"/>
    <w:rsid w:val="4E7B5EA2"/>
    <w:rsid w:val="55B61960"/>
    <w:rsid w:val="5600539B"/>
    <w:rsid w:val="57920FC7"/>
    <w:rsid w:val="5BC950F3"/>
    <w:rsid w:val="5D69158F"/>
    <w:rsid w:val="65DB0A34"/>
    <w:rsid w:val="71ED32B9"/>
    <w:rsid w:val="75512583"/>
    <w:rsid w:val="78BE0771"/>
    <w:rsid w:val="7B303F85"/>
    <w:rsid w:val="7BD32F44"/>
    <w:rsid w:val="7E6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21</Pages>
  <Words>1563</Words>
  <Characters>8914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2021-11-11T10:52:00Z</dcterms:created>
  <dc:creator>admin</dc:creator>
  <cp:lastModifiedBy>Administrator</cp:lastModifiedBy>
  <cp:lastPrinted>2022-03-04T01:31:00Z</cp:lastPrinted>
  <dcterms:modified xsi:type="dcterms:W3CDTF">2022-03-07T03:00:21Z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A237BA64A3354285A5CB7F03DEFACF53</vt:lpwstr>
  </property>
</Properties>
</file>