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outlineLvl w:val="9"/>
        <w:rPr>
          <w:rFonts w:hint="eastAsia" w:ascii="楷体" w:hAnsi="楷体" w:eastAsia="楷体" w:cs="楷体"/>
          <w:i w:val="0"/>
          <w:iCs w:val="0"/>
          <w:caps w:val="0"/>
          <w:color w:val="000000"/>
          <w:spacing w:val="0"/>
          <w:sz w:val="30"/>
          <w:szCs w:val="30"/>
          <w:lang w:eastAsia="zh-CN"/>
        </w:rPr>
      </w:pPr>
      <w:r>
        <w:rPr>
          <w:rFonts w:hint="eastAsia" w:ascii="楷体" w:hAnsi="楷体" w:eastAsia="楷体" w:cs="楷体"/>
          <w:i w:val="0"/>
          <w:iCs w:val="0"/>
          <w:caps w:val="0"/>
          <w:color w:val="000000"/>
          <w:spacing w:val="0"/>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_GBK" w:hAnsi="方正小标宋_GBK" w:eastAsia="方正小标宋_GBK" w:cs="方正小标宋_GBK"/>
          <w:i w:val="0"/>
          <w:iCs w:val="0"/>
          <w:caps w:val="0"/>
          <w:color w:val="000000"/>
          <w:spacing w:val="0"/>
          <w:sz w:val="44"/>
          <w:szCs w:val="44"/>
          <w:lang w:val="en-US" w:eastAsia="zh-CN"/>
        </w:rPr>
      </w:pPr>
      <w:r>
        <w:rPr>
          <w:rFonts w:hint="eastAsia" w:ascii="方正小标宋_GBK" w:hAnsi="方正小标宋_GBK" w:eastAsia="方正小标宋_GBK" w:cs="方正小标宋_GBK"/>
          <w:i w:val="0"/>
          <w:iCs w:val="0"/>
          <w:caps w:val="0"/>
          <w:color w:val="000000"/>
          <w:spacing w:val="0"/>
          <w:sz w:val="44"/>
          <w:szCs w:val="44"/>
        </w:rPr>
        <w:t>毕节市</w:t>
      </w:r>
      <w:r>
        <w:rPr>
          <w:rFonts w:hint="eastAsia" w:ascii="方正小标宋_GBK" w:hAnsi="方正小标宋_GBK" w:eastAsia="方正小标宋_GBK" w:cs="方正小标宋_GBK"/>
          <w:i w:val="0"/>
          <w:iCs w:val="0"/>
          <w:caps w:val="0"/>
          <w:color w:val="000000"/>
          <w:spacing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_GBK" w:hAnsi="方正小标宋_GBK" w:eastAsia="方正小标宋_GBK" w:cs="方正小标宋_GBK"/>
          <w:i w:val="0"/>
          <w:iCs w:val="0"/>
          <w:caps w:val="0"/>
          <w:color w:val="000000"/>
          <w:spacing w:val="0"/>
          <w:sz w:val="44"/>
          <w:szCs w:val="44"/>
          <w:lang w:eastAsia="zh-CN"/>
        </w:rPr>
      </w:pPr>
      <w:r>
        <w:rPr>
          <w:rFonts w:hint="eastAsia" w:ascii="方正小标宋_GBK" w:hAnsi="方正小标宋_GBK" w:eastAsia="方正小标宋_GBK" w:cs="方正小标宋_GBK"/>
          <w:i w:val="0"/>
          <w:iCs w:val="0"/>
          <w:caps w:val="0"/>
          <w:color w:val="000000"/>
          <w:spacing w:val="0"/>
          <w:sz w:val="44"/>
          <w:szCs w:val="44"/>
        </w:rPr>
        <w:t>202</w:t>
      </w:r>
      <w:r>
        <w:rPr>
          <w:rFonts w:hint="eastAsia" w:ascii="方正小标宋_GBK" w:hAnsi="方正小标宋_GBK" w:eastAsia="方正小标宋_GBK" w:cs="方正小标宋_GBK"/>
          <w:i w:val="0"/>
          <w:iCs w:val="0"/>
          <w:caps w:val="0"/>
          <w:color w:val="000000"/>
          <w:spacing w:val="0"/>
          <w:sz w:val="44"/>
          <w:szCs w:val="44"/>
          <w:lang w:val="en-US" w:eastAsia="zh-CN"/>
        </w:rPr>
        <w:t>2</w:t>
      </w:r>
      <w:r>
        <w:rPr>
          <w:rFonts w:hint="eastAsia" w:ascii="方正小标宋_GBK" w:hAnsi="方正小标宋_GBK" w:eastAsia="方正小标宋_GBK" w:cs="方正小标宋_GBK"/>
          <w:i w:val="0"/>
          <w:iCs w:val="0"/>
          <w:caps w:val="0"/>
          <w:color w:val="000000"/>
          <w:spacing w:val="0"/>
          <w:sz w:val="44"/>
          <w:szCs w:val="44"/>
        </w:rPr>
        <w:t>年第</w:t>
      </w:r>
      <w:r>
        <w:rPr>
          <w:rFonts w:hint="eastAsia" w:ascii="方正小标宋_GBK" w:hAnsi="方正小标宋_GBK" w:eastAsia="方正小标宋_GBK" w:cs="方正小标宋_GBK"/>
          <w:i w:val="0"/>
          <w:iCs w:val="0"/>
          <w:caps w:val="0"/>
          <w:color w:val="000000"/>
          <w:spacing w:val="0"/>
          <w:sz w:val="44"/>
          <w:szCs w:val="44"/>
          <w:lang w:eastAsia="zh-CN"/>
        </w:rPr>
        <w:t>一</w:t>
      </w:r>
      <w:r>
        <w:rPr>
          <w:rFonts w:hint="eastAsia" w:ascii="方正小标宋_GBK" w:hAnsi="方正小标宋_GBK" w:eastAsia="方正小标宋_GBK" w:cs="方正小标宋_GBK"/>
          <w:i w:val="0"/>
          <w:iCs w:val="0"/>
          <w:caps w:val="0"/>
          <w:color w:val="000000"/>
          <w:spacing w:val="0"/>
          <w:sz w:val="44"/>
          <w:szCs w:val="44"/>
        </w:rPr>
        <w:t>批次“人才强市”</w:t>
      </w:r>
      <w:r>
        <w:rPr>
          <w:rFonts w:hint="eastAsia" w:ascii="方正小标宋_GBK" w:hAnsi="方正小标宋_GBK" w:eastAsia="方正小标宋_GBK" w:cs="方正小标宋_GBK"/>
          <w:i w:val="0"/>
          <w:iCs w:val="0"/>
          <w:caps w:val="0"/>
          <w:color w:val="000000"/>
          <w:spacing w:val="0"/>
          <w:sz w:val="44"/>
          <w:szCs w:val="44"/>
          <w:lang w:eastAsia="zh-CN"/>
        </w:rPr>
        <w:t>引才面试工作</w:t>
      </w: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_GBK" w:hAnsi="方正小标宋_GBK" w:eastAsia="方正小标宋_GBK" w:cs="方正小标宋_GBK"/>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2022年3月27日开展下属单位</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批次“人才强市”人才引进面试工作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面试的</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如遇疫情防控突发紧急情况，</w:t>
      </w:r>
      <w:r>
        <w:rPr>
          <w:rFonts w:hint="eastAsia" w:ascii="仿宋_GB2312" w:hAnsi="仿宋_GB2312" w:eastAsia="仿宋_GB2312" w:cs="仿宋_GB2312"/>
          <w:color w:val="000000"/>
          <w:sz w:val="32"/>
          <w:szCs w:val="32"/>
          <w:lang w:val="en-US" w:eastAsia="zh-CN"/>
        </w:rPr>
        <w:t>面试工作</w:t>
      </w:r>
      <w:r>
        <w:rPr>
          <w:rFonts w:hint="eastAsia" w:ascii="仿宋_GB2312" w:hAnsi="仿宋_GB2312" w:eastAsia="仿宋_GB2312" w:cs="仿宋_GB2312"/>
          <w:color w:val="000000"/>
          <w:sz w:val="32"/>
          <w:szCs w:val="32"/>
          <w:lang w:eastAsia="zh-CN"/>
        </w:rPr>
        <w:t>根据实际情况予以延期。</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仿宋_GB2312" w:hAnsi="仿宋_GB2312" w:eastAsia="仿宋_GB2312" w:cs="仿宋_GB2312"/>
          <w:kern w:val="0"/>
          <w:sz w:val="32"/>
          <w:szCs w:val="32"/>
          <w:lang w:eastAsia="zh-CN"/>
        </w:rPr>
        <w:t>面试</w:t>
      </w:r>
      <w:r>
        <w:rPr>
          <w:rFonts w:hint="eastAsia" w:ascii="Times New Roman" w:hAnsi="Times New Roman" w:eastAsia="仿宋_GB2312" w:cs="Times New Roman"/>
          <w:kern w:val="0"/>
          <w:sz w:val="32"/>
          <w:szCs w:val="32"/>
          <w:lang w:val="en-US" w:eastAsia="zh-CN"/>
        </w:rPr>
        <w:t>考生9人、考务工作人员21人，合计30人。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rPr>
        <w:t>（一）</w:t>
      </w:r>
      <w:r>
        <w:rPr>
          <w:rFonts w:hint="eastAsia" w:ascii="楷体" w:hAnsi="楷体" w:eastAsia="楷体" w:cs="楷体"/>
          <w:b w:val="0"/>
          <w:bCs w:val="0"/>
          <w:color w:val="000000"/>
          <w:kern w:val="0"/>
          <w:sz w:val="32"/>
          <w:szCs w:val="32"/>
          <w:lang w:val="en-US" w:eastAsia="zh-CN"/>
        </w:rPr>
        <w:t>面试</w:t>
      </w:r>
      <w:r>
        <w:rPr>
          <w:rFonts w:hint="eastAsia" w:ascii="楷体" w:hAnsi="楷体" w:eastAsia="楷体" w:cs="楷体"/>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不能参加面试人员和参加考务工作人员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lang w:val="en-US" w:eastAsia="zh-CN"/>
        </w:rPr>
        <w:t>前28</w:t>
      </w:r>
      <w:r>
        <w:rPr>
          <w:rFonts w:hint="eastAsia" w:ascii="仿宋_GB2312" w:hAnsi="仿宋_GB2312" w:eastAsia="仿宋_GB2312" w:cs="仿宋_GB2312"/>
          <w:color w:val="auto"/>
          <w:sz w:val="32"/>
          <w:szCs w:val="32"/>
        </w:rPr>
        <w:t>天内</w:t>
      </w:r>
      <w:r>
        <w:rPr>
          <w:rFonts w:hint="eastAsia" w:ascii="仿宋_GB2312" w:hAnsi="仿宋_GB2312" w:eastAsia="仿宋_GB2312" w:cs="仿宋_GB2312"/>
          <w:color w:val="auto"/>
          <w:sz w:val="32"/>
          <w:szCs w:val="32"/>
          <w:lang w:eastAsia="zh-CN"/>
        </w:rPr>
        <w:t>中、高风险地区返回人员、</w:t>
      </w:r>
      <w:r>
        <w:rPr>
          <w:rFonts w:hint="eastAsia" w:ascii="仿宋_GB2312" w:hAnsi="仿宋_GB2312" w:eastAsia="仿宋_GB2312" w:cs="仿宋_GB2312"/>
          <w:color w:val="auto"/>
          <w:sz w:val="32"/>
          <w:szCs w:val="32"/>
        </w:rPr>
        <w:t>境外</w:t>
      </w:r>
      <w:r>
        <w:rPr>
          <w:rFonts w:hint="eastAsia" w:ascii="仿宋_GB2312" w:hAnsi="仿宋_GB2312" w:eastAsia="仿宋_GB2312" w:cs="仿宋_GB2312"/>
          <w:color w:val="auto"/>
          <w:sz w:val="32"/>
          <w:szCs w:val="32"/>
          <w:lang w:eastAsia="zh-CN"/>
        </w:rPr>
        <w:t>返回</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楷体_GB2312" w:eastAsia="仿宋_GB2312" w:cs="楷体_GB2312"/>
          <w:color w:val="000000"/>
          <w:kern w:val="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auto"/>
          <w:sz w:val="32"/>
          <w:szCs w:val="32"/>
        </w:rPr>
        <w:t>前14天内有本土阳性感染者报告市（州）低风险地区返回人员</w:t>
      </w:r>
      <w:r>
        <w:rPr>
          <w:rFonts w:hint="eastAsia" w:ascii="仿宋_GB2312" w:hAnsi="仿宋_GB2312" w:eastAsia="仿宋_GB2312" w:cs="仿宋_GB2312"/>
          <w:color w:val="auto"/>
          <w:sz w:val="32"/>
          <w:szCs w:val="32"/>
          <w:lang w:eastAsia="zh-CN"/>
        </w:rPr>
        <w:t>原则上不能参加。</w:t>
      </w:r>
      <w:r>
        <w:rPr>
          <w:rFonts w:hint="eastAsia" w:ascii="仿宋_GB2312" w:hAnsi="仿宋_GB2312" w:eastAsia="仿宋_GB2312" w:cs="仿宋_GB2312"/>
          <w:sz w:val="32"/>
          <w:szCs w:val="32"/>
          <w:lang w:eastAsia="zh-CN"/>
        </w:rPr>
        <w:t>确须参加的（面试工作仅针对考生</w:t>
      </w:r>
      <w:r>
        <w:rPr>
          <w:rFonts w:hint="eastAsia" w:ascii="仿宋_GB2312" w:hAnsi="楷体_GB2312" w:eastAsia="仿宋_GB2312" w:cs="楷体_GB2312"/>
          <w:color w:val="000000"/>
          <w:kern w:val="0"/>
          <w:sz w:val="32"/>
          <w:szCs w:val="32"/>
          <w:lang w:eastAsia="zh-CN"/>
        </w:rPr>
        <w:t>，</w:t>
      </w:r>
      <w:r>
        <w:rPr>
          <w:rFonts w:hint="eastAsia" w:ascii="仿宋_GB2312" w:hAnsi="楷体_GB2312" w:eastAsia="仿宋_GB2312" w:cs="楷体_GB2312"/>
          <w:color w:val="000000"/>
          <w:kern w:val="0"/>
          <w:sz w:val="32"/>
          <w:szCs w:val="32"/>
        </w:rPr>
        <w:t>有本土阳性感染者报告市（州）低风险地区</w:t>
      </w:r>
      <w:r>
        <w:rPr>
          <w:rFonts w:hint="eastAsia" w:ascii="仿宋_GB2312" w:hAnsi="楷体_GB2312" w:eastAsia="仿宋_GB2312" w:cs="楷体_GB2312"/>
          <w:color w:val="000000"/>
          <w:kern w:val="0"/>
          <w:sz w:val="32"/>
          <w:szCs w:val="32"/>
          <w:lang w:eastAsia="zh-CN"/>
        </w:rPr>
        <w:t>旅居史人员不能参加考务工作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面试当日须有“三天两检”核酸检测阴性证明</w:t>
      </w:r>
      <w:r>
        <w:rPr>
          <w:rFonts w:hint="eastAsia" w:ascii="仿宋_GB2312" w:hAnsi="楷体_GB2312" w:eastAsia="仿宋_GB2312" w:cs="楷体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仿宋_GB2312" w:hAnsi="楷体_GB2312" w:eastAsia="仿宋_GB2312" w:cs="楷体_GB2312"/>
          <w:color w:val="000000"/>
          <w:kern w:val="0"/>
          <w:sz w:val="32"/>
          <w:szCs w:val="32"/>
          <w:lang w:val="en-US" w:eastAsia="zh-CN"/>
        </w:rPr>
      </w:pPr>
      <w:r>
        <w:rPr>
          <w:rFonts w:hint="eastAsia" w:ascii="仿宋_GB2312" w:hAnsi="仿宋_GB2312" w:eastAsia="仿宋_GB2312" w:cs="仿宋_GB2312"/>
          <w:sz w:val="32"/>
          <w:szCs w:val="32"/>
          <w:lang w:val="en-US" w:eastAsia="zh-CN"/>
        </w:rPr>
        <w:t>“三天两检”具体措施见2022年2月24日“贵州改革”微信公众号发布文章《贵州省“三天两检”健康监测措施解读》。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仍处于康复或隔离期的确诊病例、无症状感染者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）仍处于医学隔离期或观察期的</w:t>
      </w:r>
      <w:r>
        <w:rPr>
          <w:rFonts w:hint="eastAsia" w:ascii="仿宋_GB2312" w:hAnsi="仿宋_GB2312" w:eastAsia="仿宋_GB2312" w:cs="仿宋_GB2312"/>
          <w:color w:val="auto"/>
          <w:sz w:val="32"/>
          <w:szCs w:val="32"/>
        </w:rPr>
        <w:t>密切接触者</w:t>
      </w:r>
      <w:r>
        <w:rPr>
          <w:rFonts w:hint="eastAsia" w:ascii="仿宋_GB2312" w:hAnsi="仿宋_GB2312" w:eastAsia="仿宋_GB2312" w:cs="仿宋_GB2312"/>
          <w:color w:val="auto"/>
          <w:sz w:val="32"/>
          <w:szCs w:val="32"/>
          <w:lang w:eastAsia="zh-CN"/>
        </w:rPr>
        <w:t>和次密切接触者。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与阳性</w:t>
      </w:r>
      <w:r>
        <w:rPr>
          <w:rFonts w:hint="eastAsia" w:ascii="仿宋_GB2312" w:hAnsi="仿宋_GB2312" w:eastAsia="仿宋_GB2312" w:cs="仿宋_GB2312"/>
          <w:color w:val="auto"/>
          <w:sz w:val="32"/>
          <w:szCs w:val="32"/>
          <w:lang w:val="en-US" w:eastAsia="zh-CN"/>
        </w:rPr>
        <w:t>感染者</w:t>
      </w:r>
      <w:r>
        <w:rPr>
          <w:rFonts w:hint="eastAsia" w:ascii="仿宋_GB2312" w:hAnsi="仿宋_GB2312" w:eastAsia="仿宋_GB2312" w:cs="仿宋_GB2312"/>
          <w:color w:val="auto"/>
          <w:sz w:val="32"/>
          <w:szCs w:val="32"/>
        </w:rPr>
        <w:t>同乘交通工具或活动轨迹有交集的</w:t>
      </w:r>
      <w:r>
        <w:rPr>
          <w:rFonts w:hint="eastAsia" w:ascii="仿宋_GB2312" w:hAnsi="仿宋_GB2312" w:eastAsia="仿宋_GB2312" w:cs="仿宋_GB2312"/>
          <w:color w:val="auto"/>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sz w:val="32"/>
          <w:szCs w:val="32"/>
          <w:lang w:val="en-US" w:eastAsia="zh-CN"/>
        </w:rPr>
        <w:t>面试</w:t>
      </w:r>
      <w:r>
        <w:rPr>
          <w:rFonts w:hint="eastAsia" w:ascii="仿宋_GB2312" w:hAnsi="仿宋_GB2312" w:eastAsia="仿宋_GB2312" w:cs="仿宋_GB2312"/>
          <w:b/>
          <w:bCs/>
          <w:color w:val="auto"/>
          <w:sz w:val="32"/>
          <w:szCs w:val="32"/>
          <w:lang w:val="en-US" w:eastAsia="zh-CN"/>
        </w:rPr>
        <w:t>前健康监测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kern w:val="0"/>
          <w:sz w:val="32"/>
          <w:szCs w:val="32"/>
          <w:lang w:eastAsia="zh-CN"/>
        </w:rPr>
        <w:t>参加面试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w:t>
      </w:r>
      <w:r>
        <w:rPr>
          <w:rFonts w:hint="eastAsia" w:ascii="Times New Roman" w:hAnsi="Times New Roman" w:eastAsia="仿宋_GB2312" w:cs="Times New Roman"/>
          <w:kern w:val="0"/>
          <w:sz w:val="32"/>
          <w:szCs w:val="32"/>
          <w:lang w:eastAsia="zh-CN"/>
        </w:rPr>
        <w:t>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000000"/>
          <w:kern w:val="0"/>
          <w:sz w:val="32"/>
          <w:szCs w:val="32"/>
          <w:lang w:val="en-US" w:eastAsia="zh-CN"/>
        </w:rPr>
        <w:t>按照《关于进一步加强新冠肺炎疫情防控工作的通知》（黔府办发电〔2021〕163号）要求，参加</w:t>
      </w:r>
      <w:r>
        <w:rPr>
          <w:rFonts w:hint="eastAsia" w:ascii="仿宋_GB2312" w:hAnsi="仿宋_GB2312" w:eastAsia="仿宋_GB2312" w:cs="仿宋_GB2312"/>
          <w:kern w:val="0"/>
          <w:sz w:val="32"/>
          <w:szCs w:val="32"/>
          <w:lang w:eastAsia="zh-CN"/>
        </w:rPr>
        <w:t>面试的考生</w:t>
      </w:r>
      <w:r>
        <w:rPr>
          <w:rFonts w:hint="eastAsia" w:ascii="Times New Roman" w:hAnsi="Times New Roman" w:eastAsia="仿宋_GB2312" w:cs="Times New Roman"/>
          <w:color w:val="000000"/>
          <w:kern w:val="0"/>
          <w:sz w:val="32"/>
          <w:szCs w:val="32"/>
          <w:lang w:val="en-US" w:eastAsia="zh-CN"/>
        </w:rPr>
        <w:t>均须提供报到前48小时内核酸检测阴性证明。</w:t>
      </w:r>
      <w:r>
        <w:rPr>
          <w:rFonts w:hint="eastAsia" w:ascii="仿宋_GB2312" w:hAnsi="仿宋_GB2312" w:eastAsia="仿宋_GB2312" w:cs="仿宋_GB2312"/>
          <w:color w:val="000000"/>
          <w:sz w:val="32"/>
          <w:szCs w:val="32"/>
          <w:lang w:val="en-US" w:eastAsia="zh-CN"/>
        </w:rPr>
        <w:t>核酸采样后，所有人员均要</w:t>
      </w:r>
      <w:r>
        <w:rPr>
          <w:rFonts w:hint="eastAsia" w:ascii="仿宋_GB2312" w:hAnsi="仿宋_GB2312" w:eastAsia="仿宋_GB2312" w:cs="仿宋_GB2312"/>
          <w:color w:val="000000"/>
          <w:sz w:val="32"/>
          <w:szCs w:val="32"/>
        </w:rPr>
        <w:t>做好个人防护、不得乘坐公共交通</w:t>
      </w:r>
      <w:r>
        <w:rPr>
          <w:rFonts w:hint="eastAsia" w:ascii="仿宋_GB2312" w:hAnsi="仿宋_GB2312" w:eastAsia="仿宋_GB2312" w:cs="仿宋_GB2312"/>
          <w:color w:val="000000"/>
          <w:sz w:val="32"/>
          <w:szCs w:val="32"/>
          <w:lang w:val="en-US" w:eastAsia="zh-CN"/>
        </w:rPr>
        <w:t>工具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避免与无关人员接触。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w:t>
      </w:r>
      <w:r>
        <w:rPr>
          <w:rFonts w:hint="eastAsia" w:ascii="仿宋_GB2312" w:hAnsi="仿宋_GB2312" w:eastAsia="仿宋_GB2312" w:cs="仿宋_GB2312"/>
          <w:kern w:val="0"/>
          <w:sz w:val="32"/>
          <w:szCs w:val="32"/>
          <w:lang w:eastAsia="zh-CN"/>
        </w:rPr>
        <w:t>参加面试</w:t>
      </w:r>
      <w:r>
        <w:rPr>
          <w:rFonts w:hint="eastAsia" w:ascii="Times New Roman" w:hAnsi="Times New Roman" w:eastAsia="仿宋_GB2312" w:cs="Times New Roman"/>
          <w:color w:val="000000"/>
          <w:kern w:val="0"/>
          <w:sz w:val="32"/>
          <w:szCs w:val="32"/>
          <w:lang w:val="en-US" w:eastAsia="zh-CN"/>
        </w:rPr>
        <w:t>前14天内有省外无本土病例报告市（州）旅居史的来（返）毕人员，须持有48小时内核酸检测阴性证明。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lang w:eastAsia="zh-CN"/>
        </w:rPr>
        <w:t>参加面试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2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w:t>
      </w:r>
      <w:r>
        <w:rPr>
          <w:rFonts w:hint="eastAsia" w:ascii="仿宋_GB2312" w:hAnsi="仿宋_GB2312" w:eastAsia="仿宋_GB2312" w:cs="仿宋_GB2312"/>
          <w:kern w:val="0"/>
          <w:sz w:val="32"/>
          <w:szCs w:val="32"/>
          <w:lang w:eastAsia="zh-CN"/>
        </w:rPr>
        <w:t>参加面试的</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lang w:eastAsia="zh-CN"/>
        </w:rPr>
        <w:t>考务</w:t>
      </w:r>
      <w:r>
        <w:rPr>
          <w:rFonts w:hint="default" w:ascii="Times New Roman" w:hAnsi="Times New Roman" w:eastAsia="仿宋_GB2312" w:cs="Times New Roman"/>
          <w:kern w:val="0"/>
          <w:sz w:val="32"/>
          <w:szCs w:val="32"/>
        </w:rPr>
        <w:t>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考点</w:t>
      </w:r>
      <w:r>
        <w:rPr>
          <w:rFonts w:hint="default" w:ascii="Times New Roman" w:hAnsi="Times New Roman" w:eastAsia="仿宋_GB2312" w:cs="Times New Roman"/>
          <w:sz w:val="32"/>
          <w:szCs w:val="32"/>
          <w:lang w:eastAsia="zh-CN"/>
        </w:rPr>
        <w:t>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（二）</w:t>
      </w:r>
      <w:r>
        <w:rPr>
          <w:rFonts w:hint="default" w:ascii="楷体" w:hAnsi="楷体" w:eastAsia="楷体" w:cs="楷体"/>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w:t>
      </w:r>
      <w:r>
        <w:rPr>
          <w:rFonts w:hint="eastAsia" w:ascii="仿宋_GB2312" w:hAnsi="仿宋_GB2312" w:eastAsia="仿宋_GB2312" w:cs="仿宋_GB2312"/>
          <w:kern w:val="0"/>
          <w:sz w:val="32"/>
          <w:szCs w:val="32"/>
          <w:lang w:eastAsia="zh-CN"/>
        </w:rPr>
        <w:t>参加面试</w:t>
      </w:r>
      <w:r>
        <w:rPr>
          <w:rFonts w:hint="default" w:ascii="Times New Roman" w:hAnsi="Times New Roman" w:eastAsia="仿宋_GB2312" w:cs="Times New Roman"/>
          <w:sz w:val="32"/>
          <w:szCs w:val="32"/>
        </w:rPr>
        <w:t>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2022年3月27日上午8:00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8:30起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8:50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面试考生</w:t>
      </w:r>
      <w:r>
        <w:rPr>
          <w:rFonts w:hint="default"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（三）</w:t>
      </w:r>
      <w:r>
        <w:rPr>
          <w:rFonts w:hint="default" w:ascii="楷体" w:hAnsi="楷体" w:eastAsia="楷体" w:cs="楷体"/>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9"/>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default" w:ascii="楷体" w:hAnsi="楷体" w:eastAsia="楷体" w:cs="楷体"/>
          <w:b w:val="0"/>
          <w:bCs w:val="0"/>
          <w:color w:val="000000"/>
          <w:kern w:val="0"/>
          <w:sz w:val="32"/>
          <w:szCs w:val="32"/>
        </w:rPr>
        <w:t>（一）加强组织领导</w:t>
      </w:r>
    </w:p>
    <w:p>
      <w:pPr>
        <w:pStyle w:val="4"/>
        <w:keepNext w:val="0"/>
        <w:keepLines w:val="0"/>
        <w:pageBreakBefore w:val="0"/>
        <w:widowControl/>
        <w:kinsoku/>
        <w:wordWrap/>
        <w:overflowPunct/>
        <w:topLinePunct w:val="0"/>
        <w:autoSpaceDE/>
        <w:autoSpaceDN/>
        <w:bidi w:val="0"/>
        <w:snapToGrid w:val="0"/>
        <w:spacing w:line="520" w:lineRule="exact"/>
        <w:ind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eastAsia="zh-CN"/>
        </w:rPr>
        <w:t>由党组书记、局长任组长，其他党组成员任副组长，其他副县级干部为成员的</w:t>
      </w:r>
      <w:r>
        <w:rPr>
          <w:rFonts w:hint="eastAsia" w:eastAsia="仿宋_GB2312"/>
          <w:sz w:val="32"/>
          <w:szCs w:val="32"/>
          <w:lang w:val="en-US" w:eastAsia="zh-CN"/>
        </w:rPr>
        <w:t>毕节市人力资源和社会保障局</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eastAsia="zh-CN"/>
        </w:rPr>
        <w:t>市人力资源社会保障局办公室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由办公室主任</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楷体" w:hAnsi="楷体" w:eastAsia="楷体" w:cs="楷体"/>
          <w:b w:val="0"/>
          <w:bCs w:val="0"/>
          <w:color w:val="000000"/>
          <w:kern w:val="0"/>
          <w:sz w:val="32"/>
          <w:szCs w:val="32"/>
        </w:rPr>
      </w:pPr>
      <w:r>
        <w:rPr>
          <w:rFonts w:hint="default" w:ascii="楷体" w:hAnsi="楷体" w:eastAsia="楷体" w:cs="楷体"/>
          <w:b w:val="0"/>
          <w:bCs w:val="0"/>
          <w:color w:val="000000"/>
          <w:kern w:val="0"/>
          <w:sz w:val="32"/>
          <w:szCs w:val="32"/>
        </w:rPr>
        <w:t>（二）抓好防控责任落实</w:t>
      </w:r>
    </w:p>
    <w:p>
      <w:pPr>
        <w:keepNext w:val="0"/>
        <w:keepLines w:val="0"/>
        <w:pageBreakBefore w:val="0"/>
        <w:kinsoku/>
        <w:wordWrap/>
        <w:overflowPunct/>
        <w:topLinePunct w:val="0"/>
        <w:autoSpaceDE/>
        <w:autoSpaceDN/>
        <w:bidi w:val="0"/>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20" w:lineRule="exact"/>
        <w:ind w:left="-142"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20" w:lineRule="exact"/>
        <w:ind w:left="-199" w:leftChars="-95"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val="0"/>
        <w:spacing w:line="520" w:lineRule="exact"/>
        <w:ind w:left="-199" w:leftChars="-95" w:firstLine="640" w:firstLineChars="200"/>
        <w:textAlignment w:val="auto"/>
        <w:outlineLvl w:val="9"/>
        <w:rPr>
          <w:rFonts w:hint="default"/>
        </w:rPr>
      </w:pPr>
      <w:r>
        <w:rPr>
          <w:rFonts w:hint="default" w:ascii="Times New Roman" w:hAnsi="Times New Roman" w:eastAsia="仿宋_GB2312" w:cs="Times New Roman"/>
          <w:color w:val="000000"/>
          <w:kern w:val="0"/>
          <w:sz w:val="32"/>
          <w:szCs w:val="32"/>
          <w:lang w:val="en-US" w:eastAsia="zh-CN"/>
        </w:rPr>
        <w:t>5.严格落实核酸检测、全程疫苗接种、测温扫码、全程佩戴口罩、</w:t>
      </w:r>
      <w:r>
        <w:rPr>
          <w:rFonts w:hint="eastAsia" w:ascii="Times New Roman" w:hAnsi="Times New Roman" w:eastAsia="仿宋_GB2312" w:cs="Times New Roman"/>
          <w:color w:val="000000"/>
          <w:kern w:val="0"/>
          <w:sz w:val="32"/>
          <w:szCs w:val="32"/>
          <w:lang w:val="en-US" w:eastAsia="zh-CN"/>
        </w:rPr>
        <w:t>考点</w:t>
      </w:r>
      <w:r>
        <w:rPr>
          <w:rFonts w:hint="default" w:ascii="Times New Roman" w:hAnsi="Times New Roman" w:eastAsia="仿宋_GB2312" w:cs="Times New Roman"/>
          <w:color w:val="000000"/>
          <w:kern w:val="0"/>
          <w:sz w:val="32"/>
          <w:szCs w:val="32"/>
          <w:lang w:val="en-US" w:eastAsia="zh-CN"/>
        </w:rPr>
        <w:t>通风消毒和参加</w:t>
      </w:r>
      <w:r>
        <w:rPr>
          <w:rFonts w:hint="eastAsia" w:ascii="Times New Roman" w:hAnsi="Times New Roman" w:eastAsia="仿宋_GB2312" w:cs="Times New Roman"/>
          <w:color w:val="000000"/>
          <w:kern w:val="0"/>
          <w:sz w:val="32"/>
          <w:szCs w:val="32"/>
          <w:lang w:val="en-US" w:eastAsia="zh-CN"/>
        </w:rPr>
        <w:t>面试及考务</w:t>
      </w:r>
      <w:r>
        <w:rPr>
          <w:rFonts w:hint="default" w:ascii="Times New Roman" w:hAnsi="Times New Roman" w:eastAsia="仿宋_GB2312" w:cs="Times New Roman"/>
          <w:color w:val="000000"/>
          <w:kern w:val="0"/>
          <w:sz w:val="32"/>
          <w:szCs w:val="32"/>
          <w:lang w:val="en-US" w:eastAsia="zh-CN"/>
        </w:rPr>
        <w:t>人员消毒等措施。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eastAsia="仿宋_GB2312"/>
          <w:sz w:val="32"/>
          <w:szCs w:val="32"/>
          <w:lang w:val="en-US" w:eastAsia="zh-CN"/>
        </w:rPr>
        <w:t>毕节市人力资源和社会保障局</w:t>
      </w:r>
      <w:r>
        <w:rPr>
          <w:rFonts w:hint="eastAsia" w:ascii="仿宋_GB2312" w:hAnsi="仿宋_GB2312" w:eastAsia="仿宋_GB2312" w:cs="仿宋_GB2312"/>
          <w:sz w:val="32"/>
          <w:szCs w:val="32"/>
        </w:rPr>
        <w:t>疫情防控领导小组负责解释，未尽事宜由</w:t>
      </w:r>
      <w:r>
        <w:rPr>
          <w:rFonts w:hint="eastAsia" w:eastAsia="仿宋_GB2312"/>
          <w:sz w:val="32"/>
          <w:szCs w:val="32"/>
          <w:lang w:val="en-US" w:eastAsia="zh-CN"/>
        </w:rPr>
        <w:t>毕节市人力资源和社会保障局</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7"/>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textAlignment w:val="auto"/>
        <w:outlineLvl w:val="9"/>
        <w:rPr>
          <w:rFonts w:hint="eastAsia" w:eastAsia="仿宋_GB2312"/>
          <w:sz w:val="32"/>
          <w:szCs w:val="32"/>
          <w:lang w:val="en-US" w:eastAsia="zh-CN"/>
        </w:rPr>
      </w:pPr>
      <w:r>
        <w:rPr>
          <w:rFonts w:hint="eastAsia" w:eastAsia="仿宋_GB2312"/>
          <w:sz w:val="32"/>
          <w:szCs w:val="32"/>
          <w:lang w:val="en-US" w:eastAsia="zh-CN"/>
        </w:rPr>
        <w:t>毕节市人力资源和社会保障局</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2022年3月10日</w:t>
      </w:r>
    </w:p>
    <w:p>
      <w:pPr>
        <w:pStyle w:val="8"/>
        <w:keepNext w:val="0"/>
        <w:keepLines w:val="0"/>
        <w:pageBreakBefore w:val="0"/>
        <w:kinsoku/>
        <w:wordWrap/>
        <w:overflowPunct/>
        <w:topLinePunct w:val="0"/>
        <w:autoSpaceDE/>
        <w:autoSpaceDN/>
        <w:bidi w:val="0"/>
        <w:spacing w:line="520" w:lineRule="exact"/>
        <w:ind w:firstLine="0" w:firstLineChars="0"/>
        <w:textAlignment w:val="auto"/>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eastAsia="黑体"/>
          <w:color w:val="000000"/>
          <w:sz w:val="32"/>
          <w:szCs w:val="32"/>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hint="eastAsia" w:ascii="楷体" w:hAnsi="楷体" w:eastAsia="楷体" w:cs="楷体"/>
          <w:color w:val="000000"/>
          <w:sz w:val="28"/>
          <w:szCs w:val="28"/>
        </w:rPr>
      </w:pPr>
    </w:p>
    <w:p>
      <w:pPr>
        <w:pStyle w:val="8"/>
        <w:keepNext w:val="0"/>
        <w:keepLines w:val="0"/>
        <w:pageBreakBefore w:val="0"/>
        <w:kinsoku/>
        <w:wordWrap/>
        <w:overflowPunct/>
        <w:topLinePunct w:val="0"/>
        <w:autoSpaceDE/>
        <w:autoSpaceDN/>
        <w:bidi w:val="0"/>
        <w:spacing w:line="520" w:lineRule="exact"/>
        <w:ind w:firstLine="0" w:firstLineChars="0"/>
        <w:outlineLvl w:val="9"/>
        <w:rPr>
          <w:rFonts w:hint="eastAsia" w:ascii="楷体" w:hAnsi="楷体" w:eastAsia="楷体" w:cs="楷体"/>
          <w:color w:val="000000"/>
          <w:sz w:val="28"/>
          <w:szCs w:val="28"/>
        </w:rPr>
      </w:pPr>
      <w:bookmarkStart w:id="0" w:name="_GoBack"/>
      <w:bookmarkEnd w:id="0"/>
      <w:r>
        <w:rPr>
          <w:rFonts w:hint="eastAsia" w:ascii="楷体" w:hAnsi="楷体" w:eastAsia="楷体" w:cs="楷体"/>
          <w:color w:val="000000"/>
          <w:sz w:val="28"/>
          <w:szCs w:val="28"/>
        </w:rPr>
        <w:t>附件</w:t>
      </w:r>
    </w:p>
    <w:p>
      <w:pPr>
        <w:pStyle w:val="8"/>
        <w:keepNext w:val="0"/>
        <w:keepLines w:val="0"/>
        <w:pageBreakBefore w:val="0"/>
        <w:kinsoku/>
        <w:wordWrap/>
        <w:overflowPunct/>
        <w:topLinePunct w:val="0"/>
        <w:autoSpaceDE/>
        <w:autoSpaceDN/>
        <w:bidi w:val="0"/>
        <w:spacing w:line="520" w:lineRule="exact"/>
        <w:ind w:firstLine="0" w:firstLineChars="0"/>
        <w:jc w:val="center"/>
        <w:outlineLvl w:val="9"/>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5"/>
        <w:tblW w:w="0" w:type="auto"/>
        <w:jc w:val="center"/>
        <w:tblLayout w:type="fixed"/>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20" w:lineRule="exact"/>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center"/>
              <w:outlineLvl w:val="9"/>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center"/>
              <w:outlineLvl w:val="9"/>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20" w:lineRule="exact"/>
              <w:textAlignment w:val="top"/>
              <w:outlineLvl w:val="9"/>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106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20" w:lineRule="exact"/>
              <w:jc w:val="left"/>
              <w:textAlignment w:val="top"/>
              <w:outlineLvl w:val="9"/>
              <w:rPr>
                <w:rFonts w:hint="eastAsia"/>
              </w:rPr>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90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left"/>
              <w:textAlignment w:val="center"/>
              <w:outlineLvl w:val="9"/>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7"/>
        <w:keepNext w:val="0"/>
        <w:keepLines w:val="0"/>
        <w:pageBreakBefore w:val="0"/>
        <w:kinsoku/>
        <w:overflowPunct/>
        <w:topLinePunct w:val="0"/>
        <w:autoSpaceDE/>
        <w:autoSpaceDN/>
        <w:bidi w:val="0"/>
        <w:spacing w:before="0" w:after="0" w:line="540" w:lineRule="exact"/>
        <w:outlineLvl w:val="9"/>
        <w:rPr>
          <w:rFonts w:hint="default"/>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8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PwC Normal"/>
    <w:basedOn w:val="1"/>
    <w:qFormat/>
    <w:uiPriority w:val="0"/>
    <w:pPr>
      <w:spacing w:before="180" w:after="180" w:line="240" w:lineRule="atLeast"/>
    </w:pPr>
  </w:style>
  <w:style w:type="paragraph" w:customStyle="1" w:styleId="8">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2022-03-10T06:32:37Z</dcterms:created>
  <dc:creator>Administrator</dc:creator>
  <cp:lastModifiedBy>Administrator</cp:lastModifiedBy>
  <dcterms:modified xsi:type="dcterms:W3CDTF">2022-03-10T06:33:38Z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A8B584F18AA1496098E74B81281CA442</vt:lpwstr>
  </property>
</Properties>
</file>