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300" w:type="pc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128"/>
        <w:gridCol w:w="1419"/>
        <w:gridCol w:w="2833"/>
        <w:gridCol w:w="1226"/>
        <w:gridCol w:w="1893"/>
        <w:gridCol w:w="851"/>
        <w:gridCol w:w="727"/>
        <w:gridCol w:w="3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重庆市沙坪坝区人民医院2022年上半年招聘计划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应届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往届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毕业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条件优秀可放宽至本科及以上规培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条件优秀可放宽至本科及以上规培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呼吸与危重症医学科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血液肿瘤科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3-4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特教老师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儿保医师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急诊医学、内科学、重症医学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需规培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骨科/胸外/创外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47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眼视光技术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听力学技术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胃肠肛肠外科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外科学或麻醉学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疼痛技术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舒适治疗中心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精神专业或神经内科（睡眠方向）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条件优秀可放宽至本科及以上规培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感染性疾病科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内科学（感染方向）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1-2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病理学及病理生理学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条件优秀可放宽至本科及以上中级职称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临床营养科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健康体检科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内科学或全科医学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医学影像技术/生物医学工程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超声医学/影像医学与核医学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1-2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医学检验科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病案管理室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医学信息学或统计学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护理岗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初级职称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　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有规培及三甲工作经验优先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党委办公室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党务干事</w:t>
            </w:r>
          </w:p>
        </w:tc>
        <w:tc>
          <w:tcPr>
            <w:tcW w:w="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汉语言文学、公共事业管理、哲学等相关专业</w:t>
            </w:r>
            <w:bookmarkEnd w:id="0"/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中国共产党党员，研究生学历优先考虑；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3年以上党建工作经验，拥有政府、国企背景优先考虑；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熟练掌握党建基本知识，发展党员流程、党建信息平台管理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具有较强的文字功底公文写作能力；具有较强的组织协调和沟通表达能力；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熟练使用office办公软件，精通PPT制作。</w:t>
            </w:r>
          </w:p>
        </w:tc>
      </w:tr>
    </w:tbl>
    <w:p/>
    <w:sectPr>
      <w:pgSz w:w="16838" w:h="11906" w:orient="landscape"/>
      <w:pgMar w:top="1800" w:right="1440" w:bottom="10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66D8C"/>
    <w:rsid w:val="191305E6"/>
    <w:rsid w:val="1D710B6F"/>
    <w:rsid w:val="656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2022-03-04T03:49:00Z</dcterms:created>
  <dc:creator>Administrator</dc:creator>
  <cp:lastModifiedBy>佐大伊大神</cp:lastModifiedBy>
  <dcterms:modified xsi:type="dcterms:W3CDTF">2022-03-07T06:59:38Z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