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0" w:firstLineChars="300"/>
        <w:jc w:val="left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1：</w:t>
      </w:r>
    </w:p>
    <w:p>
      <w:pPr>
        <w:spacing w:line="6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2022年招聘合同制职工需求信息表</w:t>
      </w:r>
    </w:p>
    <w:bookmarkEnd w:id="0"/>
    <w:tbl>
      <w:tblPr>
        <w:tblStyle w:val="2"/>
        <w:tblW w:w="102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27"/>
        <w:gridCol w:w="706"/>
        <w:gridCol w:w="1220"/>
        <w:gridCol w:w="567"/>
        <w:gridCol w:w="897"/>
        <w:gridCol w:w="5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5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中医、中西医结合心血管内科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硕士研究生及以上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2.年龄40岁以下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3.有心脏相关介入资质者优先，能胜任心内科住院医师日常工作者优先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外一科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外科、中西医结合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硕士研究生及以上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2.年龄25-30岁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3.熟练掌握病历书写、熟悉外科常见病诊治者优先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4.西医院校外科专业或中医院校中西医结合专业者优先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外二科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神经外科、中医外科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硕士研究生及以上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2.年龄35岁以下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3.能胜任科室临床、教学及科研者优先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眼科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中医眼科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硕士研究生及以上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2.年龄35岁以下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3.熟悉掌握眼科常见病诊断和治疗以及住院病历书写者优先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超声医学、医学影像、临床医学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2.年龄35岁以下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影像医学与核医学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硕士研究生及以上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2.有放射人员工作证、大型仪器上岗证者优先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理疗科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针灸推拿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1.取得住院医师规范化培训合格证书、医师资格证书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2.年龄35岁以下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3.能熟练使用中医外治法及各类理疗治疗相关疾病者优先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药剂科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中药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大专及以上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1.年龄30岁以下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2.有药师资格证书者优先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药剂科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西药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1.年龄30岁以下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2.有药师资格证书者优先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医学检验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1.具备医学检验职务资格证书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2.有PCR上岗证书者优先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3.年龄40岁以下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技师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医学检验、病理学、生物技术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1.从事病理检测工作者优先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2.年龄25-40岁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统计室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20"/>
              </w:rPr>
              <w:t>统计学、社会医学与卫生事业管理、公共卫生、流行病与卫生统计学、卫生事业管理、卫生信息管理、经济学等相关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能熟练使用电脑办公软件、熟悉计算机语言者优先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行政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计算机相关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本科及以上</w:t>
            </w:r>
          </w:p>
        </w:tc>
        <w:tc>
          <w:tcPr>
            <w:tcW w:w="5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1.年龄30岁以下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2.通过CCIE、HCIA等证书者优先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3.应届毕业生优先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24145"/>
    <w:rsid w:val="28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2022-02-28T06:09:00Z</dcterms:created>
  <dc:creator>杰么娜</dc:creator>
  <cp:lastModifiedBy>杰么娜</cp:lastModifiedBy>
  <dcterms:modified xsi:type="dcterms:W3CDTF">2022-02-28T06:10:00Z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19E2E2C1B7FD469FA1C2B891A66F0EE6</vt:lpwstr>
  </property>
</Properties>
</file>