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659"/>
        <w:jc w:val="left"/>
        <w:rPr>
          <w:rFonts w:hint="eastAsia" w:eastAsia="方正黑体_GBK"/>
          <w:color w:val="auto"/>
          <w:sz w:val="33"/>
          <w:szCs w:val="33"/>
          <w:lang w:val="en-US" w:eastAsia="zh-CN"/>
        </w:rPr>
      </w:pPr>
      <w:r>
        <w:rPr>
          <w:rFonts w:eastAsia="方正黑体_GBK"/>
          <w:color w:val="auto"/>
          <w:sz w:val="33"/>
          <w:szCs w:val="33"/>
        </w:rPr>
        <w:t>附件</w:t>
      </w:r>
      <w:r>
        <w:rPr>
          <w:rFonts w:hint="eastAsia" w:eastAsia="方正黑体_GBK"/>
          <w:color w:val="auto"/>
          <w:sz w:val="33"/>
          <w:szCs w:val="33"/>
          <w:lang w:val="en-US" w:eastAsia="zh-CN"/>
        </w:rPr>
        <w:t>1</w:t>
      </w:r>
    </w:p>
    <w:p>
      <w:pPr>
        <w:spacing w:line="620" w:lineRule="exact"/>
        <w:ind w:right="659"/>
        <w:jc w:val="center"/>
        <w:rPr>
          <w:rFonts w:eastAsia="方正小标宋_GBK"/>
          <w:b/>
          <w:color w:val="auto"/>
          <w:sz w:val="44"/>
          <w:szCs w:val="44"/>
        </w:rPr>
      </w:pPr>
      <w:r>
        <w:rPr>
          <w:rFonts w:hint="eastAsia" w:eastAsia="方正小标宋_GBK"/>
          <w:b/>
          <w:color w:val="auto"/>
          <w:sz w:val="44"/>
          <w:szCs w:val="44"/>
          <w:lang w:val="en-US" w:eastAsia="zh-CN"/>
        </w:rPr>
        <w:t>2022年重庆高新区</w:t>
      </w:r>
      <w:r>
        <w:rPr>
          <w:rFonts w:eastAsia="方正小标宋_GBK"/>
          <w:b/>
          <w:color w:val="auto"/>
          <w:sz w:val="44"/>
          <w:szCs w:val="44"/>
        </w:rPr>
        <w:t>公开遴选公务员职位表</w:t>
      </w:r>
    </w:p>
    <w:p>
      <w:pPr>
        <w:spacing w:line="620" w:lineRule="exact"/>
        <w:ind w:right="659"/>
        <w:jc w:val="left"/>
        <w:rPr>
          <w:rFonts w:eastAsia="方正黑体_GBK"/>
          <w:color w:val="auto"/>
          <w:sz w:val="33"/>
          <w:szCs w:val="33"/>
        </w:rPr>
      </w:pPr>
    </w:p>
    <w:tbl>
      <w:tblPr>
        <w:tblStyle w:val="6"/>
        <w:tblW w:w="13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63"/>
        <w:gridCol w:w="824"/>
        <w:gridCol w:w="579"/>
        <w:gridCol w:w="662"/>
        <w:gridCol w:w="578"/>
        <w:gridCol w:w="578"/>
        <w:gridCol w:w="578"/>
        <w:gridCol w:w="1563"/>
        <w:gridCol w:w="643"/>
        <w:gridCol w:w="621"/>
        <w:gridCol w:w="900"/>
        <w:gridCol w:w="879"/>
        <w:gridCol w:w="686"/>
        <w:gridCol w:w="578"/>
        <w:gridCol w:w="645"/>
        <w:gridCol w:w="1016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区县（市级部门）名称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用人处（部、室、科）或单位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编制类别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职位名称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职级层次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遴选指标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其他</w:t>
            </w:r>
          </w:p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条件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是否组织职位业务水平测试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笔试</w:t>
            </w:r>
          </w:p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开考</w:t>
            </w:r>
          </w:p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比例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面试</w:t>
            </w:r>
          </w:p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比例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考</w:t>
            </w:r>
          </w:p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察</w:t>
            </w:r>
          </w:p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比</w:t>
            </w:r>
          </w:p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例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咨询电话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20"/>
                <w:szCs w:val="20"/>
              </w:rPr>
            </w:pPr>
            <w:r>
              <w:rPr>
                <w:rFonts w:eastAsia="方正黑体_GBK"/>
                <w:color w:val="auto"/>
                <w:sz w:val="20"/>
                <w:szCs w:val="20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  <w:t>重庆高新区管委会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  <w:t>改革发展局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  <w:t>行政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  <w:t>党组书记、局长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  <w:t>正处级</w:t>
            </w:r>
            <w:r>
              <w:rPr>
                <w:rFonts w:hint="eastAsia" w:eastAsia="方正仿宋_GBK" w:cs="Times New Roman"/>
                <w:color w:val="auto"/>
                <w:sz w:val="20"/>
                <w:szCs w:val="20"/>
                <w:lang w:eastAsia="zh-CN"/>
              </w:rPr>
              <w:t>领导职务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  <w:t>中共党员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经济学，政治经济学，发展经济学，国民经济学，区域经济学，产业经济学，经济统计学，国民经济管理，金融学，金融与管理</w:t>
            </w:r>
            <w:r>
              <w:rPr>
                <w:rFonts w:hint="eastAsia" w:eastAsia="方正仿宋_GBK" w:cs="Times New Roman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经济与金融，经济与社会管理，工商管理，工商行政管理，经济与行政管理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  <w:t>普通高等教育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  <w:t>取得学士及以上相应学位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  <w:t>现任正处级领导职务；具有发展改革、工业和信息化等2年以上处级领导工作经历。</w:t>
            </w: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5:1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5:1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2:1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68606068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68608512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C7F45"/>
    <w:rsid w:val="014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spacing w:after="120"/>
    </w:pPr>
  </w:style>
  <w:style w:type="paragraph" w:customStyle="1" w:styleId="3">
    <w:name w:val="默认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2022-02-21T11:42:00Z</dcterms:created>
  <dc:creator>silence</dc:creator>
  <cp:lastModifiedBy>silence</cp:lastModifiedBy>
  <dcterms:modified xsi:type="dcterms:W3CDTF">2022-02-21T11:42:47Z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587528AB4E9B470AA73B8B8E57676350</vt:lpwstr>
  </property>
</Properties>
</file>