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3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1778"/>
        <w:gridCol w:w="1095"/>
        <w:gridCol w:w="630"/>
        <w:gridCol w:w="976"/>
        <w:gridCol w:w="900"/>
        <w:gridCol w:w="1680"/>
        <w:gridCol w:w="705"/>
        <w:gridCol w:w="630"/>
        <w:gridCol w:w="3180"/>
        <w:gridCol w:w="1440"/>
        <w:gridCol w:w="1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690" w:hRule="atLeast"/>
        </w:trPr>
        <w:tc>
          <w:tcPr>
            <w:tcW w:w="13513" w:type="dxa"/>
            <w:gridSpan w:val="11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</w:rPr>
              <w:t>2022年衢州市第三医院公开招聘第一批编外人员计划表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66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用工单位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岗位名称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需求人数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学历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专业要求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户籍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性别</w:t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要求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 xml:space="preserve">其 他 要 求 </w:t>
            </w:r>
          </w:p>
        </w:tc>
        <w:tc>
          <w:tcPr>
            <w:tcW w:w="1440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b/>
                <w:color w:val="000000"/>
                <w:sz w:val="22"/>
              </w:rPr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2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精神科医师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本科及以上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精神医学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具有执业医师证书，执业范围为精神卫生；试用期满可享受院内编待遇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神经电生理医师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医学影像学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具有执业医师证书；有神经电生理工作经验者优先；试用期满可享受院内编待遇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放射诊断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40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临床医学、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医学影像学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具有执业医师证书；中级职称年龄可放宽至45周岁，有二级医院工作经验及CT上岗证优先；试用期满可享受院内编待遇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中药师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中药学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具有中药初级资格证书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病案技师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35周岁及以下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公共事业管理、公共卫生管理、统计学、病案信息技术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具有浙江省编码技能水平培训合格证书、从事病案管理满2年或病案技士及以上资格者优先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5" w:type="dxa"/>
          <w:trHeight w:val="555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衢州市第三医院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10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30周岁及以下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大专及以上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护理、护理学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不限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具有护士执业证书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0570-3011560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3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24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E18C7"/>
    <w:rsid w:val="235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2022-02-13T06:10:00Z</dcterms:created>
  <dc:creator>Administrator</dc:creator>
  <cp:lastModifiedBy>Administrator</cp:lastModifiedBy>
  <dcterms:modified xsi:type="dcterms:W3CDTF">2022-02-13T06:11:53Z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