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both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岗位和专业职称要求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07"/>
        <w:gridCol w:w="722"/>
        <w:gridCol w:w="706"/>
        <w:gridCol w:w="889"/>
        <w:gridCol w:w="981"/>
        <w:gridCol w:w="1215"/>
        <w:gridCol w:w="124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需求人数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性别要求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年龄要求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最低学历要求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专业要求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审计专家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会计学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财务管理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财政学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中级会计师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注册会计师放宽至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审计专家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会计学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财务管理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财政学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中级会计师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注册会计师放宽至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审计专家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土建类或电气类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一级建造师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（机电工程）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一级造价师（安装工程）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有施工单位或设计单位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安装类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工作经验3年以上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审计专家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交通工程市政工程道路桥梁与渡河工程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一级建造师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>有施工单位或设计单位工作经验3年以上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jc w:val="left"/>
      </w:pP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说明：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年龄35周岁以下是指198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年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月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29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日以后出生，年龄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40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周岁以下是指198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年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月</w:t>
      </w:r>
      <w:r>
        <w:rPr>
          <w:rFonts w:hint="eastAsia" w:ascii="仿宋_GB2312" w:eastAsia="仿宋_GB2312"/>
          <w:sz w:val="24"/>
          <w:szCs w:val="24"/>
          <w:vertAlign w:val="baseline"/>
          <w:lang w:val="en-US" w:eastAsia="zh-CN"/>
        </w:rPr>
        <w:t>29</w:t>
      </w:r>
      <w:r>
        <w:rPr>
          <w:rFonts w:hint="eastAsia" w:ascii="仿宋_GB2312" w:eastAsia="仿宋_GB2312"/>
          <w:sz w:val="24"/>
          <w:szCs w:val="24"/>
          <w:vertAlign w:val="baseline"/>
          <w:lang w:eastAsia="zh-CN"/>
        </w:rPr>
        <w:t>日以后出生。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173B"/>
    <w:rsid w:val="75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  <w:style w:type="paragraph" w:styleId="3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2022-01-28T02:14:00Z</dcterms:created>
  <dc:creator>肖晓光</dc:creator>
  <cp:lastModifiedBy>肖晓光</cp:lastModifiedBy>
  <dcterms:modified xsi:type="dcterms:W3CDTF">2022-01-28T02:15:33Z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CAD8BC41A3B44CD4AE4C242466AF76F6</vt:lpwstr>
  </property>
</Properties>
</file>