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6B6B6B"/>
          <w:sz w:val="18"/>
          <w:szCs w:val="18"/>
        </w:rPr>
      </w:pPr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《普通高等学校高等职业教育（专科）专业目录》 2019年增补专业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根据《普通高等学校高等职业教育（专科）专业设置管理办法》，在相关学校和行业提交增补专业建议的基础上，教育部组织研究确定了2019年度增补专业共9个，现予公布，自2020年起执行。</w:t>
      </w:r>
    </w:p>
    <w:tbl>
      <w:tblPr>
        <w:tblW w:w="5000" w:type="pct"/>
        <w:jc w:val="center"/>
        <w:tblBorders>
          <w:top w:val="single" w:color="auto" w:sz="8" w:space="0"/>
          <w:left w:val="outset" w:color="auto" w:sz="6" w:space="0"/>
          <w:bottom w:val="single" w:color="auto" w:sz="8" w:space="0"/>
          <w:right w:val="outset" w:color="auto" w:sz="6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5"/>
        <w:gridCol w:w="2278"/>
        <w:gridCol w:w="2282"/>
        <w:gridCol w:w="1005"/>
        <w:gridCol w:w="2220"/>
      </w:tblGrid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31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能源动力与材料大类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新能源发电工程类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530309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"http://www.moe.gov.cn/s78/A07/zcs_ztzl/2017_zt06/17zt06_bznr/bznr_ptgxgdzjml/ptgx_mlxjzydz/201910/W020191018570325987036.doc"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氢能技术应用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6001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铁道运输类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600114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"http://www.moe.gov.cn/s78/A07/zcs_ztzl/2017_zt06/17zt06_bznr/bznr_ptgxgdzjml/ptgx_mlxjzydz/201910/W020191018570325998445.docx"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高铁综合维修技术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6101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610120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"http://www.moe.gov.cn/s78/A07/zcs_ztzl/2017_zt06/17zt06_bznr/bznr_ptgxgdzjml/ptgx_mlxjzydz/201910/W020191018570326006688.doc"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集成电路技术应用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610217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"http://www.moe.gov.cn/s78/A07/zcs_ztzl/2017_zt06/17zt06_bznr/bznr_ptgxgdzjml/ptgx_mlxjzydz/201910/W020191018570326000104.doc"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人工智能技术服务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38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6308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630805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"http://www.moe.gov.cn/s78/A07/zcs_ztzl/2017_zt06/17zt06_bznr/bznr_ptgxgdzjml/ptgx_mlxjzydz/201910/W020191018570326011309.doc"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跨境电子商务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640107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"http://www.moe.gov.cn/s78/A07/zcs_ztzl/2017_zt06/17zt06_bznr/bznr_ptgxgdzjml/ptgx_mlxjzydz/201910/W020191018570326027406.doc"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研学旅行管理与服务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640108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"http://www.moe.gov.cn/s78/A07/zcs_ztzl/2017_zt06/17zt06_bznr/bznr_ptgxgdzjml/ptgx_mlxjzydz/201910/W020191018570326034050.doc"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葡萄酒营销与服务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6704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670412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"http://www.moe.gov.cn/s78/A07/zcs_ztzl/2017_zt06/17zt06_bznr/bznr_ptgxgdzjml/ptgx_mlxjzydz/201910/W020191018570326048218.docx"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冰雪设施运维与管理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7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公共管理与服务大类</w:t>
            </w:r>
          </w:p>
        </w:tc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6903</w:t>
            </w:r>
            <w:r>
              <w:rPr>
                <w:rFonts w:hint="eastAsia" w:ascii="仿宋_GB2312" w:hAnsi="微软雅黑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公共服务类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690307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 w:val="0"/>
              <w:adjustRightInd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"http://www.moe.gov.cn/s78/A07/zcs_ztzl/2017_zt06/17zt06_bznr/bznr_ptgxgdzjml/ptgx_mlxjzydz/201910/W020191018570326045773.doc" \t "http://www.moe.gov.cn/s78/A07/zcs_ztzl/2017_zt06/17zt06_bznr/bznr_ptgxgdzjml/ptgx_mlxjzydz/201910/_blank" </w:instrTex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微软雅黑" w:eastAsia="仿宋_GB2312" w:cs="仿宋_GB2312"/>
                <w:color w:val="0000FF"/>
                <w:sz w:val="20"/>
                <w:szCs w:val="20"/>
                <w:u w:val="none"/>
                <w:bdr w:val="none" w:color="auto" w:sz="0" w:space="0"/>
              </w:rPr>
              <w:t>陵园服务与管理</w:t>
            </w:r>
            <w:r>
              <w:rPr>
                <w:rFonts w:hint="eastAsia" w:ascii="仿宋_GB2312" w:hAnsi="微软雅黑" w:eastAsia="仿宋_GB2312" w:cs="仿宋_GB2312"/>
                <w:color w:val="0000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2DF4"/>
    <w:rsid w:val="4A4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hover17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2019-12-26T05:18:00Z</dcterms:created>
  <dc:creator>Elder Tie</dc:creator>
  <cp:lastModifiedBy>Elder Tie</cp:lastModifiedBy>
  <dcterms:modified xsi:type="dcterms:W3CDTF">2019-12-26T05:18:45Z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