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4B4B4B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t>《普通高等学校高等职业教育（专科）专业目录》</w:t>
      </w: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t>2016年增补专业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根据《普通高等学校高等职业教育（专科）专业设置管理办法》，在相关学校和行业提交增补专业建议的基础上，教育部组织研究确定了2016年度增补专业共13个，现予公布，自2017年起执行。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390"/>
        <w:gridCol w:w="2239"/>
        <w:gridCol w:w="999"/>
        <w:gridCol w:w="21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13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5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2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510120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食用菌生产与加工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5201资源勘查类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520107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权籍信息化管理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530113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机场电工技术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58轻工纺织大类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5801轻化工类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580112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珠宝首饰技术与管理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5903食品药品管理类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590305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食品药品监督管理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610215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6208健康管理与促进类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620812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医疗器械经营与管理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6306工商管理类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630607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6308电子商务类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630804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商务数据分析与应用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 文化艺术大类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650220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670411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6902公共管理类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690209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公益慈善事业管理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690306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13887"/>
    <w:rsid w:val="584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hover20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2019-12-26T05:16:00Z</dcterms:created>
  <dc:creator>Elder Tie</dc:creator>
  <cp:lastModifiedBy>Elder Tie</cp:lastModifiedBy>
  <dcterms:modified xsi:type="dcterms:W3CDTF">2019-12-26T05:16:50Z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