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 w:color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u w:val="none" w:color="auto"/>
          <w:lang w:eastAsia="zh-CN"/>
        </w:rPr>
        <w:t>《政府工作报告》名词解释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textAlignment w:val="auto"/>
        <w:rPr>
          <w:rFonts w:hint="eastAsia"/>
          <w:spacing w:val="0"/>
          <w:kern w:val="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Times New Roman"/>
          <w:spacing w:val="0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1.北工南农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 w:color="auto"/>
          <w:lang w:val="en-US" w:eastAsia="zh-CN"/>
        </w:rPr>
        <w:t>针对东明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none" w:color="auto"/>
        </w:rPr>
        <w:t>南北产业特色鲜明、差异显著的经济发展格局，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u w:val="none" w:color="auto"/>
        </w:rPr>
        <w:t>将东明县域划分为南北两大功能区和下属六大发展组团，其中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u w:val="none" w:color="auto"/>
        </w:rPr>
        <w:t>北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u w:val="none" w:color="auto"/>
        </w:rPr>
        <w:t>部功能区作为工业经济发展主战场，</w:t>
      </w:r>
      <w:r>
        <w:rPr>
          <w:rFonts w:hint="eastAsia" w:ascii="Times New Roman" w:eastAsia="仿宋_GB2312" w:cs="仿宋_GB2312"/>
          <w:snapToGrid w:val="0"/>
          <w:color w:val="000000"/>
          <w:spacing w:val="0"/>
          <w:kern w:val="0"/>
          <w:sz w:val="32"/>
          <w:szCs w:val="32"/>
          <w:u w:val="none" w:color="auto"/>
          <w:lang w:val="en-US" w:eastAsia="zh-CN"/>
        </w:rPr>
        <w:t>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园区集聚发展组团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辅助产业发展组团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产城融合发展组团三大发展组团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u w:val="none" w:color="auto"/>
        </w:rPr>
        <w:t>南部功能区作为绿色发展主战场，</w:t>
      </w:r>
      <w:r>
        <w:rPr>
          <w:rFonts w:hint="eastAsia" w:ascii="仿宋_GB2312" w:eastAsia="仿宋_GB2312" w:cs="仿宋_GB2312"/>
          <w:spacing w:val="0"/>
          <w:kern w:val="0"/>
          <w:sz w:val="32"/>
          <w:szCs w:val="32"/>
          <w:u w:val="none" w:color="auto"/>
          <w:lang w:val="en-US" w:eastAsia="zh-CN"/>
        </w:rPr>
        <w:t>下设滩区绿色生态发展组团、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高端板材加工发展组团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现代特色农业发展组团三大发展组团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2.省级十强产业“雁阵形”集群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（P2）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</w:rPr>
        <w:t>2019年，山东省新旧动能转换综合试验区建设办公室发布了《关于公布山东省“十强”产业“雁阵形”集群名单的通知》，菏泽市东明县高端化工产业集群被列入第一批名单。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820"/>
        </w:tabs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3.四新经济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指“新技术、新产业、新业态、新模式”的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"https://baike.so.com/doc/4329068-4533680.html"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经济形态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，是在新一代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"https://baike.so.com/doc/28103246-29512317.html"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信息技术革命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"https://baike.so.com/doc/7028428-24973755.html"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新工业革命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以及制造业与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"https://baike.so.com/doc/956521-1011116.html"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服务业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融合发展的背景下，以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"https://baike.so.com/doc/6306698-6520281.html"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现代信息技术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广泛嵌入和深化应用为基础，以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"https://baike.so.com/doc/5398492-5635900.html"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市场需求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为根本导向，以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"https://baike.so.com/doc/5446586-5684953.html"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技术创新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instrText xml:space="preserve"> HYPERLINK "https://baike.so.com/doc/6135047-6348208.html" \t "https://baike.so.com/doc/_blank" </w:instrTex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应用创新</w:t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、模式创新为内核并相互融合的新型经济形态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820"/>
        </w:tabs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4.千企技改三年行动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 w:color="auto"/>
          <w:lang w:val="en-US" w:eastAsia="zh-CN" w:bidi="ar-SA"/>
        </w:rPr>
        <w:t>：2020年9月，市政府办公室印发了《菏泽市“千企技改”三年行动方案》，于2020-2022年，在全市推动1000家以上企业，围绕采用“新技术”“新工艺”“新装备”“新材料”“新模式”五大要素，对现有设施、工艺装备及管理服务等进行改造提升，着力提高工业企业产品质量和核心竞争力，助推传统产业转型升级、新兴产业做大做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5.标准地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3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  <w:lang w:val="en-US" w:eastAsia="zh-CN"/>
        </w:rPr>
        <w:t>在完成区域评估的基础上，对国土空间规划确定为工业用途的国有建设用地，明确固定资产投资强度、建筑容积率、单位能耗标准、单位排放标准、亩均税收等控制性指标作为“标准”的拟出让宗地。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6.亩均效益（P3）：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  <w:lang w:val="en-US" w:eastAsia="zh-CN"/>
        </w:rPr>
        <w:t>通过亩均税收、亩均利润、研发投入强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</w:rPr>
        <w:t>度、单位能耗总产值、单位污染物排放税收、全员劳动生产率等指标，对企业进行综合评价，强化正向激励和反向倒逼，推动经济高质量发展。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7.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三品一标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（P4）：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</w:rPr>
        <w:t>无公害农产品、绿色食品、有机农产品和农产品地理标志统称“三品一标”。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8.</w:t>
      </w:r>
      <w:r>
        <w:rPr>
          <w:rFonts w:hint="eastAsia" w:ascii="黑体" w:hAnsi="黑体" w:eastAsia="黑体" w:cs="黑体"/>
          <w:bCs/>
          <w:snapToGrid w:val="0"/>
          <w:spacing w:val="6"/>
          <w:kern w:val="0"/>
          <w:sz w:val="32"/>
          <w:szCs w:val="32"/>
          <w:u w:val="none" w:color="auto"/>
        </w:rPr>
        <w:t>两全两高（P</w:t>
      </w:r>
      <w:r>
        <w:rPr>
          <w:rFonts w:hint="eastAsia" w:ascii="黑体" w:hAnsi="黑体" w:eastAsia="黑体" w:cs="黑体"/>
          <w:bCs/>
          <w:snapToGrid w:val="0"/>
          <w:spacing w:val="6"/>
          <w:kern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黑体" w:hAnsi="黑体" w:eastAsia="黑体" w:cs="黑体"/>
          <w:bCs/>
          <w:snapToGrid w:val="0"/>
          <w:spacing w:val="6"/>
          <w:kern w:val="0"/>
          <w:sz w:val="32"/>
          <w:szCs w:val="32"/>
          <w:u w:val="none" w:color="auto"/>
        </w:rPr>
        <w:t>）：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  <w:u w:val="none" w:color="auto"/>
        </w:rPr>
        <w:t>农业机械化全程、全面、高质、高效</w:t>
      </w: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u w:val="none" w:color="auto"/>
        </w:rPr>
        <w:t>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9.农村“七改”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4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改路，改电，改校，改房，改厕，改水，改暖。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snapToGrid w:val="0"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10.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</w:rPr>
        <w:t>“两新”融合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）：</w:t>
      </w:r>
      <w:r>
        <w:rPr>
          <w:rFonts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</w:rPr>
        <w:t>利用城乡土地增减挂钩政策，将迁建村庄向乡镇驻地集中，推动农村新型社区和新型小城镇建设融合发展，打造人口规模适度集中、土地资源集约利用、公共服务统筹整合、产城一体协调推进、宜居宜业、各具特色的现代化小城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40" w:firstLineChars="200"/>
        <w:jc w:val="both"/>
        <w:textAlignment w:val="auto"/>
        <w:rPr>
          <w:rFonts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</w:rPr>
      </w:pP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11.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</w:rPr>
        <w:t>四减四增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</w:rPr>
        <w:t>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</w:rPr>
        <w:t>调整产业结构，减少过剩和落后产业，增加新的增长动能；调整能源结构，减少煤炭消费，增加清洁能源使用；调整运输结构，减少公路运输量，增加铁路运输量；调整农业投入结构，减少化肥农药使用量，增加有机肥使用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eastAsia="黑体" w:hAnsiTheme="minorHAnsi" w:cstheme="minorBidi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12.四型就业社区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</w:rPr>
        <w:t>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就业充分型、创业活跃型、平台智慧型、服务标准型社区。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13.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一业一证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</w:rPr>
        <w:t>）</w:t>
      </w:r>
      <w:r>
        <w:rPr>
          <w:rFonts w:hint="eastAsia" w:ascii="黑体" w:eastAsia="黑体"/>
          <w:snapToGrid w:val="0"/>
          <w:spacing w:val="0"/>
          <w:kern w:val="0"/>
          <w:sz w:val="32"/>
          <w:szCs w:val="32"/>
          <w:u w:val="none" w:color="auto"/>
        </w:rPr>
        <w:t>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指优化行业准入业务流程，将一个行业准入涉及的多张许可证整合为一张“行业综合许可证”。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14.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飞地经济（P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11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）：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指不同地区打破行政区划限制，“飞出地”方利用“飞入地”方的园区、基地建设项目，通过规划、建设、管理和税收分配等合作机制，实现共赢的经济模式。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15.两新一重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（P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13</w:t>
      </w: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eastAsia="zh-CN"/>
        </w:rPr>
        <w:t>）：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新型基础设施建设，新型城镇化建设，交通、水利等重大工程建设。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16.四个一批（P16）：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即技改提升一批、开工建设一批、竣工投产一批、对接引进一批。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7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17.“三重一大”制度（P23）：</w:t>
      </w:r>
      <w:r>
        <w:rPr>
          <w:rFonts w:hint="eastAsia" w:ascii="仿宋_GB2312" w:hAnsi="Times New Roman" w:eastAsia="仿宋_GB2312" w:cs="Times New Roman"/>
          <w:snapToGrid w:val="0"/>
          <w:spacing w:val="0"/>
          <w:kern w:val="0"/>
          <w:sz w:val="32"/>
          <w:szCs w:val="32"/>
          <w:u w:val="none" w:color="auto"/>
          <w:lang w:val="en-US" w:eastAsia="zh-CN" w:bidi="ar-SA"/>
        </w:rPr>
        <w:t>重大事项决策、重要干部任免、重要项目安排、大额资金的使用，必须经集体讨论做出决定的制度。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IdACtYAAAAI&#10;AQAADwAAAGRycy9kb3ducmV2LnhtbE2PQU/DMAyF70j8h8hI3LZ0WzWV0nQSE+WIxLoDx6wxbbfG&#10;qZKsK/8ec4Kb7ff0/L1iN9tBTOhD70jBapmAQGqc6alVcKyrRQYiRE1GD45QwTcG2JX3d4XOjbvR&#10;B06H2AoOoZBrBV2MYy5laDq0OizdiMTal/NWR159K43XNw63g1wnyVZa3RN/6PSI+w6by+FqFeyr&#10;uvYTBj984lu1Ob+/pPg6K/X4sEqeQUSc458ZfvEZHUpmOrkrmSAGBVwkKlhsshQEy+ss48uJh/Rp&#10;C7Is5P8C5Q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SHQAr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4BC6"/>
    <w:rsid w:val="02F92D08"/>
    <w:rsid w:val="050D65F7"/>
    <w:rsid w:val="0741502D"/>
    <w:rsid w:val="08597DA5"/>
    <w:rsid w:val="08940F91"/>
    <w:rsid w:val="0AC0410C"/>
    <w:rsid w:val="10E65DAB"/>
    <w:rsid w:val="10F66AD9"/>
    <w:rsid w:val="11020FDA"/>
    <w:rsid w:val="11164BC6"/>
    <w:rsid w:val="111B02EE"/>
    <w:rsid w:val="117A14B8"/>
    <w:rsid w:val="11BB73DB"/>
    <w:rsid w:val="11FE3E97"/>
    <w:rsid w:val="143771ED"/>
    <w:rsid w:val="158D5B58"/>
    <w:rsid w:val="17AF1790"/>
    <w:rsid w:val="19C122CF"/>
    <w:rsid w:val="1DD91315"/>
    <w:rsid w:val="1E7E1EBC"/>
    <w:rsid w:val="1F9A4AD4"/>
    <w:rsid w:val="1FCF6E73"/>
    <w:rsid w:val="20CE0ED9"/>
    <w:rsid w:val="2479115B"/>
    <w:rsid w:val="261108E5"/>
    <w:rsid w:val="27EC7E96"/>
    <w:rsid w:val="2A9D068C"/>
    <w:rsid w:val="346911EC"/>
    <w:rsid w:val="35020CF9"/>
    <w:rsid w:val="356D0868"/>
    <w:rsid w:val="36B9188B"/>
    <w:rsid w:val="370E1BD7"/>
    <w:rsid w:val="371508C8"/>
    <w:rsid w:val="37797999"/>
    <w:rsid w:val="3EB85187"/>
    <w:rsid w:val="3F5F459D"/>
    <w:rsid w:val="3FE61943"/>
    <w:rsid w:val="43D2242F"/>
    <w:rsid w:val="4689127A"/>
    <w:rsid w:val="495D7988"/>
    <w:rsid w:val="499A5CF7"/>
    <w:rsid w:val="4A16763A"/>
    <w:rsid w:val="4E6D3230"/>
    <w:rsid w:val="4F2C6F65"/>
    <w:rsid w:val="50450DD2"/>
    <w:rsid w:val="520D3941"/>
    <w:rsid w:val="522105B9"/>
    <w:rsid w:val="55AA38D4"/>
    <w:rsid w:val="56933A4F"/>
    <w:rsid w:val="57072E88"/>
    <w:rsid w:val="590B3D71"/>
    <w:rsid w:val="5EAB1E06"/>
    <w:rsid w:val="5EB33CAB"/>
    <w:rsid w:val="608D150F"/>
    <w:rsid w:val="60D1764E"/>
    <w:rsid w:val="6390559E"/>
    <w:rsid w:val="63A252D2"/>
    <w:rsid w:val="65424FBE"/>
    <w:rsid w:val="658729D1"/>
    <w:rsid w:val="67CB3049"/>
    <w:rsid w:val="6B8D6867"/>
    <w:rsid w:val="6BE50451"/>
    <w:rsid w:val="6D0668D1"/>
    <w:rsid w:val="6E1868BC"/>
    <w:rsid w:val="70812E3F"/>
    <w:rsid w:val="729055BB"/>
    <w:rsid w:val="75F145C2"/>
    <w:rsid w:val="795B7FA5"/>
    <w:rsid w:val="7A4A42A1"/>
    <w:rsid w:val="7AEA5A84"/>
    <w:rsid w:val="7E374B3D"/>
    <w:rsid w:val="7E6416AA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2022-01-17T07:17:00Z</dcterms:created>
  <dc:creator>王军</dc:creator>
  <cp:lastModifiedBy>Administrator</cp:lastModifiedBy>
  <cp:lastPrinted>2022-01-18T12:55:00Z</cp:lastPrinted>
  <dcterms:modified xsi:type="dcterms:W3CDTF">2022-01-18T23:59:00Z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8971CF9630294B2BB7373DBD849EBD91</vt:lpwstr>
  </property>
</Properties>
</file>