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黑体" w:eastAsia="黑体" w:cs="黑体" w:hint="eastAsia"/>
          <w:color w:val="auto"/>
          <w:sz w:val="32"/>
          <w:szCs w:val="32"/>
        </w:rPr>
      </w:pPr>
      <w:r>
        <w:rPr>
          <w:rFonts w:ascii="黑体" w:eastAsia="黑体" w:cs="黑体" w:hint="eastAsia"/>
          <w:color w:val="auto"/>
          <w:sz w:val="32"/>
          <w:szCs w:val="32"/>
        </w:rPr>
        <w:t>附件</w:t>
      </w:r>
      <w:r>
        <w:rPr>
          <w:rFonts w:ascii="Times New Roman" w:eastAsia="黑体" w:cs="Times New Roman" w:hAnsi="Times New Roman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jc w:val="center"/>
        <w:rPr>
          <w:rFonts w:hint="eastAsia"/>
          <w:color w:val="auto"/>
          <w:sz w:val="32"/>
          <w:szCs w:val="32"/>
        </w:rPr>
      </w:pPr>
      <w:r>
        <w:rPr>
          <w:rFonts w:ascii="方正小标宋简体" w:eastAsia="方正小标宋简体" w:cs="宋体" w:hint="eastAsia"/>
          <w:color w:val="auto"/>
          <w:kern w:val="0"/>
          <w:sz w:val="40"/>
          <w:szCs w:val="40"/>
        </w:rPr>
        <w:t>福建连城国有投资集团有限公司公开招聘企业专业人才职位表</w:t>
      </w:r>
    </w:p>
    <w:tbl>
      <w:tblPr>
        <w:jc w:val="center"/>
        <w:tblW w:w="13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7"/>
        <w:gridCol w:w="2272"/>
        <w:gridCol w:w="921"/>
        <w:gridCol w:w="9907"/>
      </w:tblGrid>
      <w:tr>
        <w:trPr>
          <w:trHeight w:val="11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黑体" w:eastAsia="黑体" w:cs="宋体"/>
                <w:color w:val="auto"/>
                <w:kern w:val="0"/>
                <w:sz w:val="32"/>
                <w:szCs w:val="32"/>
                <w:highlight w:val="auto"/>
              </w:rPr>
            </w:pPr>
            <w:r>
              <w:rPr>
                <w:rFonts w:ascii="黑体" w:eastAsia="黑体" w:cs="宋体" w:hint="eastAsia"/>
                <w:color w:val="auto"/>
                <w:kern w:val="0"/>
                <w:sz w:val="32"/>
                <w:szCs w:val="32"/>
                <w:highlight w:val="auto"/>
              </w:rPr>
              <w:t>序号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黑体" w:eastAsia="黑体" w:cs="宋体"/>
                <w:color w:val="auto"/>
                <w:kern w:val="0"/>
                <w:sz w:val="32"/>
                <w:szCs w:val="32"/>
                <w:highlight w:val="auto"/>
              </w:rPr>
            </w:pPr>
            <w:r>
              <w:rPr>
                <w:rFonts w:ascii="黑体" w:eastAsia="黑体" w:cs="宋体" w:hint="eastAsia"/>
                <w:color w:val="auto"/>
                <w:kern w:val="0"/>
                <w:sz w:val="32"/>
                <w:szCs w:val="32"/>
                <w:highlight w:val="auto"/>
              </w:rPr>
              <w:t>岗位</w:t>
            </w:r>
            <w:r>
              <w:rPr>
                <w:rFonts w:ascii="黑体" w:eastAsia="黑体" w:cs="宋体"/>
                <w:color w:val="auto"/>
                <w:kern w:val="0"/>
                <w:sz w:val="32"/>
                <w:szCs w:val="32"/>
                <w:highlight w:val="auto"/>
              </w:rPr>
              <w:t>名称及代码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黑体" w:eastAsia="黑体" w:cs="宋体"/>
                <w:color w:val="auto"/>
                <w:kern w:val="0"/>
                <w:sz w:val="32"/>
                <w:szCs w:val="32"/>
                <w:highlight w:val="auto"/>
              </w:rPr>
            </w:pPr>
            <w:r>
              <w:rPr>
                <w:rFonts w:ascii="黑体" w:eastAsia="黑体" w:cs="宋体" w:hint="eastAsia"/>
                <w:color w:val="auto"/>
                <w:kern w:val="0"/>
                <w:sz w:val="32"/>
                <w:szCs w:val="32"/>
                <w:highlight w:val="auto"/>
              </w:rPr>
              <w:t>招聘人数</w:t>
            </w:r>
          </w:p>
        </w:tc>
        <w:tc>
          <w:tcPr>
            <w:tcW w:w="9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黑体" w:eastAsia="黑体" w:cs="宋体"/>
                <w:color w:val="auto"/>
                <w:kern w:val="0"/>
                <w:sz w:val="32"/>
                <w:szCs w:val="32"/>
                <w:highlight w:val="auto"/>
              </w:rPr>
            </w:pPr>
            <w:r>
              <w:rPr>
                <w:rFonts w:ascii="黑体" w:eastAsia="黑体" w:cs="宋体" w:hint="eastAsia"/>
                <w:color w:val="auto"/>
                <w:kern w:val="0"/>
                <w:sz w:val="32"/>
                <w:szCs w:val="32"/>
                <w:highlight w:val="auto"/>
              </w:rPr>
              <w:t>条件要求</w:t>
            </w:r>
          </w:p>
        </w:tc>
      </w:tr>
      <w:tr>
        <w:trPr>
          <w:trHeight w:val="51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center"/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工商管理类人员等同二级以下企业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副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经理岗位职务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；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财务管理类人员等同部门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副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经理岗位职务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center"/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  <w:highlight w:val="auto"/>
              </w:rPr>
              <w:t>（101）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宋体" w:hAnsi="Times New Roman"/>
                <w:color w:val="auto"/>
                <w:kern w:val="0"/>
                <w:sz w:val="28"/>
                <w:szCs w:val="28"/>
                <w:highlight w:val="auto"/>
              </w:rPr>
              <w:t>2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both"/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1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.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工商管理类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、</w:t>
            </w:r>
            <w:r>
              <w:rPr>
                <w:rFonts w:ascii="Times New Roman" w:eastAsia="仿宋_GB2312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经济贸易类、财政金融类、会计与审计类</w:t>
            </w:r>
            <w:r>
              <w:rPr>
                <w:rFonts w:ascii="Times New Roman" w:eastAsia="仿宋_GB2312" w:hAnsi="Times New Roman"/>
                <w:color w:val="auto"/>
                <w:kern w:val="0"/>
                <w:sz w:val="28"/>
                <w:szCs w:val="28"/>
                <w:highlight w:val="auto"/>
              </w:rPr>
              <w:t>专业</w:t>
            </w:r>
            <w:r>
              <w:rPr>
                <w:rFonts w:ascii="Times New Roman" w:eastAsia="仿宋_GB2312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，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普通高校全日制硕士研究生及以上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学历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毕业生，具有硕士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及以上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both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2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.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工商管理类人员了解工商管理方面的政策法规，</w:t>
            </w:r>
            <w:r>
              <w:rPr>
                <w:rFonts w:ascii="Times New Roman" w:eastAsia="仿宋_GB2312" w:hAnsi="Times New Roman" w:hint="eastAsia"/>
                <w:color w:val="auto"/>
                <w:spacing w:val="15"/>
                <w:sz w:val="28"/>
                <w:szCs w:val="28"/>
                <w:shd w:val="clear" w:color="auto" w:fill="FFFFFF"/>
                <w:highlight w:val="auto"/>
              </w:rPr>
              <w:t>有较强的商务谈判组织和驾驭能力，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具有企业管理工作经验者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或</w:t>
            </w:r>
            <w:r>
              <w:rPr>
                <w:rFonts w:ascii="Times New Roman" w:eastAsia="仿宋_GB2312" w:hAnsi="Times New Roman" w:hint="eastAsia"/>
                <w:color w:val="auto"/>
                <w:sz w:val="28"/>
                <w:szCs w:val="28"/>
                <w:highlight w:val="auto"/>
              </w:rPr>
              <w:t>财务工作经验者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优先。财务管理类人员</w:t>
            </w:r>
            <w:r>
              <w:rPr>
                <w:rFonts w:ascii="Times New Roman" w:eastAsia="仿宋_GB2312" w:hAnsi="Times New Roman" w:hint="eastAsia"/>
                <w:color w:val="auto"/>
                <w:sz w:val="28"/>
                <w:szCs w:val="28"/>
                <w:highlight w:val="auto"/>
              </w:rPr>
              <w:t>会计理论基础知识扎实，熟悉企业会计制度，熟悉国家财税制度和办税程序，熟练掌握财务软件，</w:t>
            </w:r>
            <w:r>
              <w:rPr>
                <w:rFonts w:ascii="Times New Roman" w:eastAsia="仿宋_GB2312" w:hAnsi="Times New Roman"/>
                <w:color w:val="auto"/>
                <w:sz w:val="28"/>
                <w:szCs w:val="28"/>
                <w:highlight w:val="auto"/>
              </w:rPr>
              <w:t>精通成本测算，财务核算</w:t>
            </w:r>
            <w:r>
              <w:rPr>
                <w:rFonts w:ascii="Times New Roman" w:eastAsia="仿宋_GB2312" w:hAnsi="Times New Roman" w:hint="eastAsia"/>
                <w:color w:val="auto"/>
                <w:sz w:val="28"/>
                <w:szCs w:val="28"/>
                <w:highlight w:val="auto"/>
              </w:rPr>
              <w:t>，具有金融、投资、担保等行业工作经验者优先。</w:t>
            </w:r>
          </w:p>
        </w:tc>
      </w:tr>
      <w:tr>
        <w:trPr>
          <w:trHeight w:val="33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lang w:val="en-US" w:eastAsia="zh-CN"/>
                <w:highlight w:val="auto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法律类人员等同部门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副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经理岗位职务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  <w:highlight w:val="auto"/>
              </w:rPr>
              <w:t>（102）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1</w:t>
            </w:r>
          </w:p>
        </w:tc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1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.</w:t>
            </w:r>
            <w:r>
              <w:rPr>
                <w:rFonts w:ascii="Times New Roman" w:eastAsia="仿宋_GB2312" w:cs="仿宋_GB2312" w:hAnsi="Times New Roman" w:hint="eastAsia"/>
                <w:sz w:val="28"/>
                <w:szCs w:val="28"/>
                <w:highlight w:val="auto"/>
              </w:rPr>
              <w:t>法学</w:t>
            </w:r>
            <w:r>
              <w:rPr>
                <w:rFonts w:ascii="Times New Roman" w:eastAsia="仿宋_GB2312" w:cs="仿宋_GB2312" w:hAnsi="Times New Roman" w:hint="eastAsia"/>
                <w:sz w:val="28"/>
                <w:szCs w:val="28"/>
                <w:lang w:eastAsia="zh-CN"/>
                <w:highlight w:val="auto"/>
              </w:rPr>
              <w:t>、法律、经济法学、经济法律事务、法律实务、金融与法律、经济法与经济实务、民商经济法学、民商法学、诉讼法学、知识产权</w:t>
            </w:r>
            <w:r>
              <w:rPr>
                <w:rFonts w:ascii="Times New Roman" w:eastAsia="仿宋_GB2312" w:cs="仿宋_GB2312" w:hAnsi="Times New Roman" w:hint="eastAsia"/>
                <w:color w:val="auto"/>
                <w:sz w:val="28"/>
                <w:szCs w:val="28"/>
                <w:highlight w:val="auto"/>
              </w:rPr>
              <w:t>专业，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普通高校全日制硕士研究生及以上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学历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毕业生，具有硕士及以上学位；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2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.</w:t>
            </w:r>
            <w:r>
              <w:rPr>
                <w:rFonts w:ascii="Times New Roman" w:eastAsia="仿宋_GB2312" w:cs="仿宋_GB2312" w:hAnsi="Times New Roman" w:hint="eastAsia"/>
                <w:color w:val="auto"/>
                <w:sz w:val="28"/>
                <w:szCs w:val="28"/>
                <w:highlight w:val="auto"/>
              </w:rPr>
              <w:t>熟悉民法典、公司法、劳动法、招投标法、建筑工程类等相关法律，熟悉公司合同管理体系和法律风险控制流程，具有诉讼仲裁实践经验，有良好的诉讼业绩，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具有</w:t>
            </w:r>
            <w:r>
              <w:rPr>
                <w:rFonts w:ascii="Times New Roman" w:eastAsia="仿宋_GB2312" w:cs="仿宋_GB2312" w:hAnsi="Times New Roman" w:hint="eastAsia"/>
                <w:color w:val="auto"/>
                <w:sz w:val="28"/>
                <w:szCs w:val="28"/>
                <w:highlight w:val="auto"/>
              </w:rPr>
              <w:t>法律事务工作经验者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优先</w:t>
            </w:r>
            <w:r>
              <w:rPr>
                <w:rFonts w:ascii="Times New Roman" w:eastAsia="仿宋_GB2312" w:cs="仿宋_GB2312" w:hAnsi="Times New Roman" w:hint="eastAsia"/>
                <w:color w:val="auto"/>
                <w:sz w:val="28"/>
                <w:szCs w:val="28"/>
                <w:highlight w:val="auto"/>
              </w:rPr>
              <w:t>。</w:t>
            </w:r>
          </w:p>
        </w:tc>
      </w:tr>
      <w:tr>
        <w:trPr>
          <w:trHeight w:val="257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lang w:val="en-US" w:eastAsia="zh-CN"/>
                <w:highlight w:val="auto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工程管理类人员等同部门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副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经理岗位职务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  <w:highlight w:val="auto"/>
              </w:rPr>
              <w:t>（201）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lang w:val="en-US" w:eastAsia="zh-CN"/>
                <w:highlight w:val="auto"/>
              </w:rPr>
              <w:t>2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left"/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仿宋_GB2312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1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.城乡规划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lang w:val="en-US" w:eastAsia="zh-CN"/>
                <w:highlight w:val="auto"/>
              </w:rPr>
              <w:t>（学）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、城市规划、城市规划与设计、城市园林规划管理、景观建筑设计、建筑设计技术、土建设计施工，工程造价、工程造价管理、设计学专业，普通高校全日制硕士研究生及以上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学历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毕业生，具有硕士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及以上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lef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2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.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具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有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工程类管理工作经验和具有二级造价师及以上从业资格证书者优先。</w:t>
            </w:r>
          </w:p>
        </w:tc>
      </w:tr>
      <w:tr>
        <w:trPr>
          <w:trHeight w:val="17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lang w:val="en-US" w:eastAsia="zh-CN"/>
                <w:highlight w:val="auto"/>
              </w:rPr>
            </w:pPr>
            <w:r>
              <w:rPr>
                <w:rFonts w:ascii="Times New Roman" w:eastAsia="仿宋_GB2312" w:cs="Times New Roman" w:hAnsi="Times New Roman"/>
                <w:color w:val="auto"/>
                <w:kern w:val="0"/>
                <w:sz w:val="28"/>
                <w:szCs w:val="28"/>
                <w:lang w:val="en-US" w:eastAsia="zh-CN"/>
                <w:highlight w:val="auto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矿业类人员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等同二级以下企业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副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经理岗位职务</w:t>
            </w:r>
            <w:r>
              <w:rPr>
                <w:rFonts w:ascii="仿宋_GB2312" w:eastAsia="仿宋_GB2312" w:cs="仿宋_GB2312"/>
                <w:color w:val="auto"/>
                <w:kern w:val="0"/>
                <w:sz w:val="28"/>
                <w:szCs w:val="28"/>
                <w:highlight w:val="auto"/>
              </w:rPr>
              <w:t>（202）</w:t>
            </w:r>
            <w:bookmarkStart w:id="0" w:name="_GoBack"/>
            <w:bookmarkEnd w:id="0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1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left"/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1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.地矿类专业，普通高校全日制硕士研究生及以上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学历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毕业生，具有硕士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lang w:eastAsia="zh-CN"/>
                <w:highlight w:val="auto"/>
              </w:rPr>
              <w:t>及以上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lef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Times New Roman" w:eastAsia="仿宋_GB2312" w:cs="宋体" w:hAnsi="Times New Roman" w:hint="eastAsia"/>
                <w:color w:val="auto"/>
                <w:kern w:val="0"/>
                <w:sz w:val="28"/>
                <w:szCs w:val="28"/>
                <w:highlight w:val="auto"/>
              </w:rPr>
              <w:t>2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.有较高的专业技术水平，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8"/>
                <w:szCs w:val="28"/>
                <w:highlight w:val="auto"/>
              </w:rPr>
              <w:t>具</w:t>
            </w:r>
            <w:r>
              <w:rPr>
                <w:rFonts w:ascii="仿宋_GB2312" w:eastAsia="仿宋_GB2312" w:cs="宋体" w:hint="eastAsia"/>
                <w:color w:val="auto"/>
                <w:kern w:val="0"/>
                <w:sz w:val="28"/>
                <w:szCs w:val="28"/>
                <w:highlight w:val="auto"/>
              </w:rPr>
              <w:t>有矿业相关工作经验者优先。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right="0" w:firstLineChars="300" w:firstLine="840"/>
        <w:rPr>
          <w:rFonts w:ascii="仿宋_GB2312" w:eastAsia="仿宋_GB2312" w:cs="仿宋_GB2312"/>
          <w:color w:val="auto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/>
          <w:docGrid w:type="lines" w:linePitch="312" w:charSpace="0"/>
        </w:sect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注：上述任职资格条件中的专业要求以《福建省机关事业单位招考专业指导目录（</w:t>
      </w:r>
      <w:r>
        <w:rPr>
          <w:rFonts w:ascii="Times New Roman" w:eastAsia="仿宋_GB2312" w:cs="Times New Roman" w:hAnsi="Times New Roman"/>
          <w:color w:val="auto"/>
          <w:sz w:val="28"/>
          <w:szCs w:val="28"/>
        </w:rPr>
        <w:t>2021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年）》为准。</w:t>
      </w:r>
    </w:p>
    <w:p/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16">
    <w:name w:val="Body Text"/>
    <w:next w:val="15"/>
    <w:pPr>
      <w:widowControl w:val="0"/>
      <w:spacing w:afterAutospacing="0" w:line="600" w:lineRule="exact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7">
    <w:name w:val="Body Text First Indent"/>
    <w:pPr>
      <w:widowControl w:val="0"/>
      <w:spacing w:after="120" w:afterAutospacing="0" w:line="240" w:lineRule="auto"/>
      <w:ind w:firstLineChars="100" w:firstLine="10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4</Pages>
  <Words>784</Words>
  <Characters>803</Characters>
  <Lines>57</Lines>
  <Paragraphs>30</Paragraphs>
  <CharactersWithSpaces>802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2022-01-17T07:45:03Z</dcterms:modified>
</cp:coreProperties>
</file>