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</w:rPr>
      </w:pPr>
      <w:r>
        <w:rPr>
          <w:rFonts w:hint="eastAsia" w:ascii="黑体" w:hAnsi="仿宋" w:eastAsia="黑体"/>
          <w:color w:val="00000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一、考生有无以下情况（在相应结果中打钩）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1、14天内是否有发热、咽痛、干咳、腹泻等症状?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2、14天内是否有国内中高风险地区旅居史?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3、28天内是否有境外旅居史?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4、14天内是否与境外或国内中高风险地区人员有接触?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5、14天内家庭、办公室是否出现2例及以上发热病例和/或呼吸道症状者?               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6、1个月内是否有被隔离医学观察情况?               有  无</w:t>
      </w:r>
    </w:p>
    <w:p>
      <w:pPr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如有以上旅居史，请说明情况∶ 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二、需要申报或说明的其他情况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姓名∶       电话：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年    月    日</w:t>
      </w:r>
    </w:p>
    <w:p>
      <w:pPr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25DC"/>
    <w:rsid w:val="365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2021-12-31T07:18:00Z</dcterms:created>
  <dc:creator>贺黎明</dc:creator>
  <cp:lastModifiedBy>贺黎明</cp:lastModifiedBy>
  <dcterms:modified xsi:type="dcterms:W3CDTF">2021-12-31T07:19:40Z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