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集团清泉医院</w:t>
      </w:r>
      <w:r>
        <w:rPr>
          <w:rFonts w:hint="eastAsia" w:eastAsia="方正小标宋简体"/>
          <w:sz w:val="44"/>
          <w:szCs w:val="44"/>
          <w:shd w:val="clear" w:color="auto" w:fill="FFFFFF"/>
        </w:rPr>
        <w:t>2021年</w:t>
      </w:r>
      <w:r>
        <w:rPr>
          <w:rFonts w:hint="eastAsia" w:eastAsia="方正小标宋简体"/>
          <w:sz w:val="44"/>
          <w:szCs w:val="44"/>
          <w:shd w:val="clear" w:color="auto" w:fill="FFFFFF"/>
          <w:lang w:eastAsia="zh-CN"/>
        </w:rPr>
        <w:t>第二次</w:t>
      </w:r>
      <w:r>
        <w:rPr>
          <w:rFonts w:hint="eastAsia" w:eastAsia="方正小标宋简体"/>
          <w:sz w:val="44"/>
          <w:szCs w:val="44"/>
          <w:shd w:val="clear" w:color="auto" w:fill="FFFFFF"/>
        </w:rPr>
        <w:t>紧急招聘工作人员岗位需求表</w:t>
      </w:r>
    </w:p>
    <w:tbl>
      <w:tblPr>
        <w:tblStyle w:val="5"/>
        <w:tblW w:w="148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95"/>
        <w:gridCol w:w="1059"/>
        <w:gridCol w:w="750"/>
        <w:gridCol w:w="1485"/>
        <w:gridCol w:w="1275"/>
        <w:gridCol w:w="1530"/>
        <w:gridCol w:w="6313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10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执业（职称）条件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                                                           2.取得省级及以上卫生健康行政部门颁发的《住院医师规范化培训合格证书》或住院医师规范化培训合格证明。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取得执业（助理）医师资格证书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1.35岁及以下（1986年11月1日后出生），取得中级资格证书人员年龄可放宽至40岁及以下（1981年11月1日后出生）；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2.符合下列条件之一的人员：（1）取得执业（助理）医师资格证书（2）取得省级及以上卫生健康行政部门颁发的《住院医师规范化培训合格证书》或住院医师规范化培训合格证明。                         3.取得普通高等教育本科及以上学历的可以不受执业（助理）医师资格证和《住院医师规范化培训合格证书》条件限制。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住院部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取得护士执业资格证书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1.30岁及以下（1991年11月1日后出生），取得中级资格证书人员年龄可放宽至35岁及以下（1986年11月1日后出生）。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91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5D9A"/>
    <w:rsid w:val="4AD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2021-12-31T09:24:00Z</dcterms:created>
  <dc:creator>Administrator</dc:creator>
  <cp:lastModifiedBy>Administrator</cp:lastModifiedBy>
  <dcterms:modified xsi:type="dcterms:W3CDTF">2021-12-31T09:27:33Z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