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rPr>
          <w:rFonts w:hint="eastAsia"/>
          <w:color w:val="auto"/>
          <w:highlight w:val="none"/>
          <w:lang w:eastAsia="zh-Hans"/>
        </w:rPr>
      </w:pPr>
      <w:r>
        <w:rPr>
          <w:rFonts w:hint="eastAsia" w:ascii="仿宋" w:hAnsi="仿宋" w:eastAsia="仿宋" w:cs="仿宋"/>
          <w:color w:val="auto"/>
          <w:spacing w:val="5"/>
          <w:sz w:val="28"/>
          <w:szCs w:val="28"/>
          <w:highlight w:val="none"/>
          <w:shd w:val="clear" w:color="auto" w:fill="FFFFFF"/>
          <w:lang w:val="en-US" w:eastAsia="zh-Hans"/>
        </w:rPr>
        <w:t>附件</w:t>
      </w:r>
      <w:r>
        <w:rPr>
          <w:rFonts w:hint="default" w:ascii="仿宋" w:hAnsi="仿宋" w:eastAsia="仿宋" w:cs="仿宋"/>
          <w:color w:val="auto"/>
          <w:spacing w:val="5"/>
          <w:sz w:val="28"/>
          <w:szCs w:val="28"/>
          <w:highlight w:val="none"/>
          <w:shd w:val="clear" w:color="auto" w:fill="FFFFFF"/>
          <w:lang w:val="en-US" w:eastAsia="zh-Hans"/>
        </w:rPr>
        <w:t>1</w:t>
      </w:r>
      <w:r>
        <w:rPr>
          <w:rFonts w:hint="eastAsia" w:ascii="仿宋" w:hAnsi="仿宋" w:eastAsia="仿宋" w:cs="仿宋"/>
          <w:color w:val="auto"/>
          <w:spacing w:val="5"/>
          <w:sz w:val="28"/>
          <w:szCs w:val="28"/>
          <w:highlight w:val="none"/>
          <w:shd w:val="clear" w:color="auto" w:fill="FFFFFF"/>
          <w:lang w:val="en-US"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/>
          <w:color w:val="auto"/>
          <w:highlight w:val="none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highlight w:val="none"/>
          <w:shd w:val="clear" w:color="auto" w:fill="FFFFFF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highlight w:val="none"/>
          <w:shd w:val="clear" w:color="auto" w:fill="FFFFFF"/>
          <w:lang w:val="en-US"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highlight w:val="none"/>
          <w:shd w:val="clear" w:color="auto" w:fill="FFFFFF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highlight w:val="none"/>
          <w:shd w:val="clear" w:color="auto" w:fill="FFFFFF"/>
          <w:lang w:val="en-US" w:eastAsia="zh-Hans"/>
        </w:rPr>
        <w:t>济南市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highlight w:val="none"/>
          <w:shd w:val="clear" w:color="auto" w:fill="FFFFFF"/>
          <w:lang w:val="en-US" w:eastAsia="zh-CN"/>
        </w:rPr>
        <w:t>市中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highlight w:val="none"/>
          <w:shd w:val="clear" w:color="auto" w:fill="FFFFFF"/>
          <w:lang w:val="en-US" w:eastAsia="zh-Hans"/>
        </w:rPr>
        <w:t>区村（社区）退役军人专职联络员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highlight w:val="none"/>
          <w:shd w:val="clear" w:color="auto" w:fill="FFFFFF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highlight w:val="none"/>
          <w:shd w:val="clear" w:color="auto" w:fill="FFFFFF"/>
          <w:lang w:val="en-US" w:eastAsia="zh-Hans"/>
        </w:rPr>
        <w:t>计划表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887"/>
        <w:gridCol w:w="809"/>
        <w:gridCol w:w="2346"/>
        <w:gridCol w:w="2177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Hans"/>
              </w:rPr>
              <w:t>序号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Hans"/>
              </w:rPr>
              <w:t>岗位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Hans"/>
              </w:rPr>
              <w:t>数量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济南市市中区村（社区）退役军人专职联络员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5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年龄不超过35岁（198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日以后出生），退役军人和烈属军属等优抚对象年龄可放宽至40岁（19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82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日以后出生）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5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国家承认的大学专科（含专科）以上文化程度，专业不限；退役军人和烈属军属等优抚对象学历可放宽至高中（含中专、中职）文化程度。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E3627"/>
    <w:rsid w:val="14C830E6"/>
    <w:rsid w:val="15FA0B2B"/>
    <w:rsid w:val="1886759D"/>
    <w:rsid w:val="1F9E7082"/>
    <w:rsid w:val="295431B0"/>
    <w:rsid w:val="308552A0"/>
    <w:rsid w:val="35A93E7F"/>
    <w:rsid w:val="36AE7122"/>
    <w:rsid w:val="4DB23305"/>
    <w:rsid w:val="58171AF6"/>
    <w:rsid w:val="669151F1"/>
    <w:rsid w:val="6C1374B3"/>
    <w:rsid w:val="6F6B1473"/>
    <w:rsid w:val="7FF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2021-08-11T06:04:00Z</dcterms:created>
  <dc:creator>Administrator</dc:creator>
  <cp:lastModifiedBy>崔建超</cp:lastModifiedBy>
  <dcterms:modified xsi:type="dcterms:W3CDTF">2021-12-24T08:08:27Z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87DD03D9C74E4CDD980559C5E1164D0B</vt:lpwstr>
  </property>
</Properties>
</file>