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附件2：</w:t>
      </w:r>
    </w:p>
    <w:p>
      <w:pPr>
        <w:overflowPunct w:val="0"/>
        <w:spacing w:line="560" w:lineRule="exact"/>
        <w:jc w:val="center"/>
        <w:rPr>
          <w:rFonts w:hint="eastAsia" w:eastAsia="方正小标宋简体"/>
          <w:b/>
          <w:sz w:val="36"/>
          <w:szCs w:val="36"/>
        </w:rPr>
      </w:pPr>
      <w:bookmarkStart w:id="0" w:name="_GoBack"/>
      <w:r>
        <w:rPr>
          <w:rFonts w:hint="eastAsia" w:eastAsia="方正小标宋简体"/>
          <w:b/>
          <w:sz w:val="36"/>
          <w:szCs w:val="36"/>
        </w:rPr>
        <w:t>仪陇县人力资源和社会保障局考调工作人员岗位和条件要求一览表</w:t>
      </w:r>
    </w:p>
    <w:bookmarkEnd w:id="0"/>
    <w:tbl>
      <w:tblPr>
        <w:tblStyle w:val="4"/>
        <w:tblW w:w="13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99"/>
        <w:gridCol w:w="610"/>
        <w:gridCol w:w="911"/>
        <w:gridCol w:w="2497"/>
        <w:gridCol w:w="2730"/>
        <w:gridCol w:w="945"/>
        <w:gridCol w:w="1065"/>
        <w:gridCol w:w="945"/>
        <w:gridCol w:w="136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考调</w:t>
            </w:r>
          </w:p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范围</w:t>
            </w:r>
          </w:p>
        </w:tc>
        <w:tc>
          <w:tcPr>
            <w:tcW w:w="2497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考调</w:t>
            </w:r>
          </w:p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对象</w:t>
            </w:r>
          </w:p>
        </w:tc>
        <w:tc>
          <w:tcPr>
            <w:tcW w:w="2730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学历</w:t>
            </w:r>
          </w:p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学位</w:t>
            </w:r>
          </w:p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综合管理</w:t>
            </w:r>
          </w:p>
        </w:tc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 xml:space="preserve">2                                                                                                                     </w:t>
            </w:r>
          </w:p>
        </w:tc>
        <w:tc>
          <w:tcPr>
            <w:tcW w:w="911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全省</w:t>
            </w:r>
          </w:p>
        </w:tc>
        <w:tc>
          <w:tcPr>
            <w:tcW w:w="2497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已进行公务员（参公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人员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）登记且在编在岗的</w:t>
            </w:r>
            <w:r>
              <w:rPr>
                <w:rFonts w:hint="eastAsia" w:eastAsia="方正仿宋简体"/>
                <w:b/>
                <w:bCs/>
                <w:sz w:val="24"/>
                <w:szCs w:val="24"/>
                <w:lang w:eastAsia="zh-CN"/>
              </w:rPr>
              <w:t>四级主任科员及以下职级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2730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县外报考人员须具有全日制大学本科及以上学历，县内报考人员须具有大学本科及以上学历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3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5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周岁以下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（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19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86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12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19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及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以后出生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overflowPunct w:val="0"/>
              <w:spacing w:line="36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036AD"/>
    <w:rsid w:val="7B40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2021-12-20T08:12:00Z</dcterms:created>
  <dc:creator>WPS_1487523561</dc:creator>
  <cp:lastModifiedBy>WPS_1487523561</cp:lastModifiedBy>
  <dcterms:modified xsi:type="dcterms:W3CDTF">2021-12-20T08:13:37Z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7FA9CD3C530D44699CE686CA187BC0C0</vt:lpwstr>
  </property>
</Properties>
</file>