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附件一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</w:rPr>
        <w:t>柳州市医疗保障事业管理中心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</w:rPr>
        <w:t>公开招聘编制外聘用人员</w:t>
      </w: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岗位需求表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</w:pPr>
    </w:p>
    <w:tbl>
      <w:tblPr>
        <w:tblStyle w:val="2"/>
        <w:tblW w:w="907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444"/>
        <w:gridCol w:w="955"/>
        <w:gridCol w:w="2206"/>
        <w:gridCol w:w="1901"/>
        <w:gridCol w:w="20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岗位需要的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其他条件要求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1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会计岗位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经费财务、基金财务工作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财务管理、财务会计专业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熟练掌握会计软件，有2年以上会计工作经验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公共经办岗位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医疗保险业务经办工作         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专业不限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54708"/>
    <w:rsid w:val="0A55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2021-12-08T06:51:00Z</dcterms:created>
  <dc:creator>一库</dc:creator>
  <cp:lastModifiedBy>一库</cp:lastModifiedBy>
  <dcterms:modified xsi:type="dcterms:W3CDTF">2021-12-08T06:51:52Z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148CF86C340D4C3582C4A575F88B5DDB</vt:lpwstr>
  </property>
</Properties>
</file>