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tbl>
      <w:tblPr>
        <w:tblStyle w:val="4"/>
        <w:tblW w:w="93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480"/>
        <w:gridCol w:w="856"/>
        <w:gridCol w:w="808"/>
        <w:gridCol w:w="417"/>
        <w:gridCol w:w="429"/>
        <w:gridCol w:w="1555"/>
        <w:gridCol w:w="594"/>
        <w:gridCol w:w="569"/>
        <w:gridCol w:w="2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方正小标宋简体" w:hAnsi="等线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等线" w:eastAsia="方正小标宋简体"/>
                <w:color w:val="000000"/>
                <w:kern w:val="0"/>
                <w:sz w:val="36"/>
                <w:szCs w:val="36"/>
              </w:rPr>
              <w:t>汝州市鑫源投资控股集团有限公司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方正小标宋简体" w:hAnsi="等线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等线" w:eastAsia="方正小标宋简体"/>
                <w:color w:val="000000"/>
                <w:kern w:val="0"/>
                <w:sz w:val="36"/>
                <w:szCs w:val="36"/>
              </w:rPr>
              <w:t>招聘岗位目录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岗位代码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部门（公司）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0101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集团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综合管理部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行政管理、文秘类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公文写作、行政管理、媒体宣传等相关工作经验及证书者优先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0102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集团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工程管理部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工程管理、工程造价类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有项目、工程管理相关专业工作经验及相关证书者优先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0103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集团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融资部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金融经济类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有投融资、金融财会等相关行业工作经验及相关证书者优先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0104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集团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法务部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有金融、项目相关行业法律工作经验及相关证书者优先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0105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物业、经济、项目管理类、工民建、造价等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有项目运营管理、房地产开发、工民建、工程造价、物业管理、工程管理类专业工作经验及有相关资格证书者优先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0106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工程类、土建类、成本造价类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技术方向，工民建、造价类，有一级建造师、工程方面中高级以上职称者优先。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0201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综合管理部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人力资源管理、法律、行政管理、文秘、物业管理类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有行政管理、人力资源管理、法律、项目管理、文秘、媒体宣传、物业管理、法律服务等相关行业工作及证书者优先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0202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综合管理部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物业管理、财务管理、人力资源管理类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物业管理、财务管理方向，有相关工作经验及证书者优先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0203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工程管理部、成本造价部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土建类、工程类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有项目、工程管理相关行业工作经验，具有甲方工程管理经验及相关证书者优先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0204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工程管理部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土建类、工程类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有项目、工程管理相关行业工作经验及相关证书者优先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0205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运营管理部、项目部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项目管理、工程管理、市场运营、工商管理类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有项目运营、房地产销售、税务、法律服务等相关行业工作工作及证书者优先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0206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运营管理部、项目部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项目管理、工程管理、市场运营、工商管理类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有财务管理类、房地产开发企业财务管理等相关行业工作经验、有中级会计证、经济师等证书者优先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融资部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财会融资、经济类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有投融资、金融财会等相关行业工作经验及相关证书者优先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0208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融资部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财会融资、经济类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有投融资、金融财会等相关行业工作经验及相关证书者优先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0209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集团及子公司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综合管理部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专员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行政管理、工商管理、文秘、人力资源管理等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有行政单位、大型企业，公文写作，商务写作、人力资源管理等相关工作经验者优先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0210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集团及子公司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工程管理部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造价、设计专员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工程管理、工程造价类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有工程管理、房建、建筑结构设计相关行业工程造价工作经验及相关证书者优先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0211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集团及子公司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法务部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法务专员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具有法院、检察院工作经验及相关证书者优先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0212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集团及子公司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财务部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会计专员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财务管理、会计类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有金融、财会等相关行业、岗位工作经验及相关证书者优先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0213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运营管理部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项目策划、运营专员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物业管理、工商管理类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1年及以上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有物业管理、招商管理、项目运营、房地产销售、税务等相关行业岗位工作经验及物业管理相关证书者优先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36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after="0" w:line="240" w:lineRule="auto"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spacing w:after="0" w:line="240" w:lineRule="auto"/>
              <w:ind w:firstLine="360" w:firstLineChars="200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拥有注册会计师、注册税务师、注册评估师、注册监理工程师、注册安全工程师等注册类资格证书，中级工程师二级建造师、二级造价师、二级人力资源管理师等二级以上资格证书，中级会计师、中级经济师等中级资格证书，司法资格证A证、基金证券从业资格证、律师证等证书的，学历、年龄可适度放宽。</w:t>
            </w:r>
          </w:p>
        </w:tc>
      </w:tr>
    </w:tbl>
    <w:p>
      <w:pPr>
        <w:pStyle w:val="2"/>
        <w:ind w:firstLine="0" w:firstLineChars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B73CF"/>
    <w:rsid w:val="5BD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  <w:rPr>
      <w:rFonts w:ascii="仿宋_GB2312" w:hAnsi="Times New Roman" w:eastAsia="仿宋_GB2312"/>
      <w:sz w:val="32"/>
    </w:r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2021-12-07T04:33:00Z</dcterms:created>
  <dc:creator>米斯特李</dc:creator>
  <cp:lastModifiedBy>米斯特李</cp:lastModifiedBy>
  <dcterms:modified xsi:type="dcterms:W3CDTF">2021-12-07T04:34:19Z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1039B1D7E3D74BD0B671AADA767244E1</vt:lpwstr>
  </property>
</Properties>
</file>