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77" w:tblpY="86"/>
        <w:tblOverlap w:val="never"/>
        <w:tblW w:w="81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693"/>
        <w:gridCol w:w="923"/>
        <w:gridCol w:w="660"/>
        <w:gridCol w:w="735"/>
        <w:gridCol w:w="688"/>
        <w:gridCol w:w="2076"/>
        <w:gridCol w:w="806"/>
        <w:gridCol w:w="7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71" w:type="dxa"/>
            <w:gridSpan w:val="9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eastAsia" w:ascii="黑体" w:hAnsi="黑体" w:eastAsia="黑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620" w:lineRule="exact"/>
              <w:jc w:val="left"/>
              <w:rPr>
                <w:rFonts w:hint="eastAsia" w:ascii="黑体" w:hAnsi="黑体" w:eastAsia="黑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620" w:lineRule="exact"/>
              <w:jc w:val="left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lang w:val="en-US" w:eastAsia="zh-CN"/>
              </w:rPr>
              <w:t>附</w:t>
            </w: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表2</w:t>
            </w:r>
          </w:p>
          <w:p>
            <w:pPr>
              <w:spacing w:line="62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  <w:t>铜仁学院2021年绿色通道招聘工作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  <w:t>人员职位及资格条件一览表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 xml:space="preserve">报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 xml:space="preserve">   条   件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其他资格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条件及说明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专 业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铜仁学院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公共管理类、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化学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类、教育学类、工商管理类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博士配偶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4F82"/>
    <w:rsid w:val="079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2021-12-03T08:31:00Z</dcterms:created>
  <dc:creator>Administrator</dc:creator>
  <cp:lastModifiedBy>Administrator</cp:lastModifiedBy>
  <dcterms:modified xsi:type="dcterms:W3CDTF">2021-12-03T08:32:25Z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