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textAlignment w:val="center"/>
        <w:rPr>
          <w:rFonts w:hint="eastAsia" w:ascii="黑体" w:hAnsi="黑体" w:eastAsia="黑体" w:cs="黑体"/>
          <w:bCs/>
          <w:color w:val="000000"/>
          <w:kern w:val="0"/>
          <w:sz w:val="32"/>
          <w:szCs w:val="32"/>
          <w:lang w:val="en-US" w:eastAsia="zh-CN" w:bidi="ar"/>
        </w:rPr>
      </w:pPr>
      <w:r>
        <w:rPr>
          <w:rFonts w:hint="eastAsia" w:ascii="黑体" w:hAnsi="黑体" w:eastAsia="黑体" w:cs="黑体"/>
          <w:bCs/>
          <w:color w:val="000000"/>
          <w:kern w:val="0"/>
          <w:sz w:val="32"/>
          <w:szCs w:val="32"/>
          <w:lang w:eastAsia="zh-CN" w:bidi="ar"/>
        </w:rPr>
        <w:t>附件</w:t>
      </w:r>
      <w:r>
        <w:rPr>
          <w:rFonts w:hint="eastAsia" w:ascii="黑体" w:hAnsi="黑体" w:eastAsia="黑体" w:cs="黑体"/>
          <w:bCs/>
          <w:color w:val="000000"/>
          <w:kern w:val="0"/>
          <w:sz w:val="32"/>
          <w:szCs w:val="32"/>
          <w:lang w:val="en-US" w:eastAsia="zh-CN" w:bidi="ar"/>
        </w:rPr>
        <w:t>2</w:t>
      </w:r>
    </w:p>
    <w:p>
      <w:pPr>
        <w:widowControl/>
        <w:spacing w:line="600" w:lineRule="exact"/>
        <w:jc w:val="center"/>
        <w:textAlignment w:val="center"/>
        <w:rPr>
          <w:rFonts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中共绵阳市</w:t>
      </w:r>
      <w:r>
        <w:rPr>
          <w:rFonts w:hint="eastAsia" w:ascii="方正小标宋简体" w:hAnsi="方正小标宋简体" w:eastAsia="方正小标宋简体" w:cs="方正小标宋简体"/>
          <w:bCs/>
          <w:color w:val="000000"/>
          <w:kern w:val="0"/>
          <w:sz w:val="44"/>
          <w:szCs w:val="44"/>
          <w:lang w:eastAsia="zh-CN" w:bidi="ar"/>
        </w:rPr>
        <w:t>游仙区</w:t>
      </w:r>
      <w:r>
        <w:rPr>
          <w:rFonts w:hint="eastAsia" w:ascii="方正小标宋简体" w:hAnsi="方正小标宋简体" w:eastAsia="方正小标宋简体" w:cs="方正小标宋简体"/>
          <w:bCs/>
          <w:color w:val="000000"/>
          <w:kern w:val="0"/>
          <w:sz w:val="44"/>
          <w:szCs w:val="44"/>
          <w:lang w:bidi="ar"/>
        </w:rPr>
        <w:t>委党校</w:t>
      </w:r>
    </w:p>
    <w:p>
      <w:pPr>
        <w:widowControl/>
        <w:spacing w:line="60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kern w:val="0"/>
          <w:sz w:val="44"/>
          <w:szCs w:val="44"/>
          <w:lang w:bidi="ar"/>
        </w:rPr>
        <w:t>公开</w:t>
      </w:r>
      <w:r>
        <w:rPr>
          <w:rFonts w:hint="eastAsia" w:ascii="方正小标宋简体" w:hAnsi="方正小标宋简体" w:eastAsia="方正小标宋简体" w:cs="方正小标宋简体"/>
          <w:bCs/>
          <w:color w:val="000000"/>
          <w:kern w:val="0"/>
          <w:sz w:val="44"/>
          <w:szCs w:val="44"/>
          <w:lang w:eastAsia="zh-CN" w:bidi="ar"/>
        </w:rPr>
        <w:t>选</w:t>
      </w:r>
      <w:r>
        <w:rPr>
          <w:rFonts w:hint="eastAsia" w:ascii="方正小标宋简体" w:hAnsi="方正小标宋简体" w:eastAsia="方正小标宋简体" w:cs="方正小标宋简体"/>
          <w:bCs/>
          <w:color w:val="000000"/>
          <w:kern w:val="0"/>
          <w:sz w:val="44"/>
          <w:szCs w:val="44"/>
          <w:lang w:bidi="ar"/>
        </w:rPr>
        <w:t>聘教师登记表</w:t>
      </w:r>
    </w:p>
    <w:tbl>
      <w:tblPr>
        <w:tblStyle w:val="4"/>
        <w:tblW w:w="9102" w:type="dxa"/>
        <w:tblInd w:w="0" w:type="dxa"/>
        <w:tblLayout w:type="fixed"/>
        <w:tblCellMar>
          <w:top w:w="0" w:type="dxa"/>
          <w:left w:w="0" w:type="dxa"/>
          <w:bottom w:w="0" w:type="dxa"/>
          <w:right w:w="0" w:type="dxa"/>
        </w:tblCellMar>
      </w:tblPr>
      <w:tblGrid>
        <w:gridCol w:w="536"/>
        <w:gridCol w:w="994"/>
        <w:gridCol w:w="1243"/>
        <w:gridCol w:w="931"/>
        <w:gridCol w:w="1253"/>
        <w:gridCol w:w="1141"/>
        <w:gridCol w:w="978"/>
        <w:gridCol w:w="981"/>
        <w:gridCol w:w="1045"/>
      </w:tblGrid>
      <w:tr>
        <w:tblPrEx>
          <w:tblLayout w:type="fixed"/>
          <w:tblCellMar>
            <w:top w:w="0" w:type="dxa"/>
            <w:left w:w="0" w:type="dxa"/>
            <w:bottom w:w="0" w:type="dxa"/>
            <w:right w:w="0" w:type="dxa"/>
          </w:tblCellMar>
        </w:tblPrEx>
        <w:trPr>
          <w:trHeight w:val="645"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姓  名</w:t>
            </w: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性  别</w:t>
            </w: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出生年月</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p>
        </w:tc>
        <w:tc>
          <w:tcPr>
            <w:tcW w:w="202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2寸正面</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免冠照片</w:t>
            </w:r>
          </w:p>
        </w:tc>
      </w:tr>
      <w:tr>
        <w:tblPrEx>
          <w:tblLayout w:type="fixed"/>
          <w:tblCellMar>
            <w:top w:w="0" w:type="dxa"/>
            <w:left w:w="0" w:type="dxa"/>
            <w:bottom w:w="0" w:type="dxa"/>
            <w:right w:w="0" w:type="dxa"/>
          </w:tblCellMar>
        </w:tblPrEx>
        <w:trPr>
          <w:trHeight w:val="645"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民  族</w:t>
            </w: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籍  贯</w:t>
            </w: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政治面貌</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45"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参加工作</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时间</w:t>
            </w: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婚姻状况</w:t>
            </w: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户籍所在地</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930"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身份证号码</w:t>
            </w:r>
          </w:p>
        </w:tc>
        <w:tc>
          <w:tcPr>
            <w:tcW w:w="554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750"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本科</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毕业院校</w:t>
            </w:r>
          </w:p>
        </w:tc>
        <w:tc>
          <w:tcPr>
            <w:tcW w:w="2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所学</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专业</w:t>
            </w:r>
          </w:p>
        </w:tc>
        <w:tc>
          <w:tcPr>
            <w:tcW w:w="21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毕业</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时间</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750"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硕士研究生</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毕业院校</w:t>
            </w:r>
          </w:p>
        </w:tc>
        <w:tc>
          <w:tcPr>
            <w:tcW w:w="21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所学</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专业</w:t>
            </w:r>
          </w:p>
        </w:tc>
        <w:tc>
          <w:tcPr>
            <w:tcW w:w="21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毕业</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时间</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15" w:hRule="atLeast"/>
        </w:trPr>
        <w:tc>
          <w:tcPr>
            <w:tcW w:w="153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联系地址</w:t>
            </w:r>
          </w:p>
        </w:tc>
        <w:tc>
          <w:tcPr>
            <w:tcW w:w="217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2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联系电话</w:t>
            </w:r>
          </w:p>
        </w:tc>
        <w:tc>
          <w:tcPr>
            <w:tcW w:w="211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8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电子邮箱</w:t>
            </w:r>
          </w:p>
        </w:tc>
        <w:tc>
          <w:tcPr>
            <w:tcW w:w="10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325" w:hRule="atLeast"/>
        </w:trPr>
        <w:tc>
          <w:tcPr>
            <w:tcW w:w="1530"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Cs/>
                <w:color w:val="000000"/>
                <w:kern w:val="0"/>
                <w:sz w:val="24"/>
                <w:lang w:bidi="ar"/>
              </w:rPr>
            </w:pPr>
          </w:p>
        </w:tc>
        <w:tc>
          <w:tcPr>
            <w:tcW w:w="217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2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Cs/>
                <w:color w:val="000000"/>
                <w:kern w:val="0"/>
                <w:sz w:val="24"/>
                <w:lang w:eastAsia="zh-CN" w:bidi="ar"/>
              </w:rPr>
            </w:pPr>
            <w:r>
              <w:rPr>
                <w:rFonts w:hint="eastAsia" w:ascii="黑体" w:hAnsi="黑体" w:eastAsia="黑体" w:cs="黑体"/>
                <w:bCs/>
                <w:color w:val="000000"/>
                <w:kern w:val="0"/>
                <w:sz w:val="21"/>
                <w:szCs w:val="21"/>
                <w:lang w:eastAsia="zh-CN" w:bidi="ar"/>
              </w:rPr>
              <w:t>紧急联系人电</w:t>
            </w:r>
            <w:r>
              <w:rPr>
                <w:rFonts w:hint="eastAsia" w:ascii="黑体" w:hAnsi="黑体" w:eastAsia="黑体" w:cs="黑体"/>
                <w:bCs/>
                <w:color w:val="000000"/>
                <w:kern w:val="0"/>
                <w:sz w:val="21"/>
                <w:szCs w:val="21"/>
                <w:lang w:val="en-US" w:eastAsia="zh-CN" w:bidi="ar"/>
              </w:rPr>
              <w:t xml:space="preserve">  </w:t>
            </w:r>
            <w:r>
              <w:rPr>
                <w:rFonts w:hint="eastAsia" w:ascii="黑体" w:hAnsi="黑体" w:eastAsia="黑体" w:cs="黑体"/>
                <w:bCs/>
                <w:color w:val="000000"/>
                <w:kern w:val="0"/>
                <w:sz w:val="21"/>
                <w:szCs w:val="21"/>
                <w:lang w:eastAsia="zh-CN" w:bidi="ar"/>
              </w:rPr>
              <w:t>话</w:t>
            </w:r>
          </w:p>
        </w:tc>
        <w:tc>
          <w:tcPr>
            <w:tcW w:w="211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8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Cs/>
                <w:color w:val="000000"/>
                <w:kern w:val="0"/>
                <w:sz w:val="24"/>
                <w:lang w:bidi="ar"/>
              </w:rPr>
            </w:pPr>
          </w:p>
        </w:tc>
        <w:tc>
          <w:tcPr>
            <w:tcW w:w="10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840"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个</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人</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简</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历</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起始时间</w:t>
            </w: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终止时间</w:t>
            </w: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学习及工作情况(自初中填起)</w:t>
            </w: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任(兼)何职务</w:t>
            </w:r>
          </w:p>
        </w:tc>
      </w:tr>
      <w:tr>
        <w:tblPrEx>
          <w:tblLayout w:type="fixed"/>
          <w:tblCellMar>
            <w:top w:w="0" w:type="dxa"/>
            <w:left w:w="0" w:type="dxa"/>
            <w:bottom w:w="0" w:type="dxa"/>
            <w:right w:w="0" w:type="dxa"/>
          </w:tblCellMar>
        </w:tblPrEx>
        <w:trPr>
          <w:trHeight w:val="5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20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1455" w:hRule="atLeast"/>
        </w:trPr>
        <w:tc>
          <w:tcPr>
            <w:tcW w:w="1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获奖情况</w:t>
            </w:r>
          </w:p>
        </w:tc>
        <w:tc>
          <w:tcPr>
            <w:tcW w:w="7572"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70"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已公开发表出版的论文及著作</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发表时间</w:t>
            </w: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论文或著作名称</w:t>
            </w: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期刊或出版社名称</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本人排名</w:t>
            </w: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05"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承担的科研项目</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时间</w:t>
            </w: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项目名称</w:t>
            </w: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项目级别及类别</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本人排名</w:t>
            </w: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45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r>
      <w:tr>
        <w:tblPrEx>
          <w:tblLayout w:type="fixed"/>
          <w:tblCellMar>
            <w:top w:w="0" w:type="dxa"/>
            <w:left w:w="0" w:type="dxa"/>
            <w:bottom w:w="0" w:type="dxa"/>
            <w:right w:w="0" w:type="dxa"/>
          </w:tblCellMar>
        </w:tblPrEx>
        <w:trPr>
          <w:trHeight w:val="555"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家庭</w:t>
            </w:r>
            <w:r>
              <w:rPr>
                <w:rFonts w:hint="eastAsia" w:ascii="黑体" w:hAnsi="黑体" w:eastAsia="黑体" w:cs="黑体"/>
                <w:bCs/>
                <w:color w:val="000000"/>
                <w:kern w:val="0"/>
                <w:sz w:val="24"/>
                <w:lang w:bidi="ar"/>
              </w:rPr>
              <w:br w:type="textWrapping"/>
            </w:r>
            <w:r>
              <w:rPr>
                <w:rFonts w:hint="eastAsia" w:ascii="黑体" w:hAnsi="黑体" w:eastAsia="黑体" w:cs="黑体"/>
                <w:bCs/>
                <w:color w:val="000000"/>
                <w:kern w:val="0"/>
                <w:sz w:val="24"/>
                <w:lang w:bidi="ar"/>
              </w:rPr>
              <w:t>成员及 主要社会关系</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称  谓</w:t>
            </w: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姓  名</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年龄</w:t>
            </w: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工作单位及职务</w:t>
            </w: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r>
      <w:tr>
        <w:tblPrEx>
          <w:tblLayout w:type="fixed"/>
          <w:tblCellMar>
            <w:top w:w="0" w:type="dxa"/>
            <w:left w:w="0" w:type="dxa"/>
            <w:bottom w:w="0" w:type="dxa"/>
            <w:right w:w="0" w:type="dxa"/>
          </w:tblCellMar>
        </w:tblPrEx>
        <w:trPr>
          <w:trHeight w:val="60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黑体" w:eastAsia="黑体" w:cs="黑体"/>
                <w:bCs/>
                <w:color w:val="000000"/>
                <w:sz w:val="24"/>
              </w:rPr>
            </w:pPr>
          </w:p>
        </w:tc>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4"/>
              </w:rPr>
            </w:pPr>
          </w:p>
        </w:tc>
        <w:tc>
          <w:tcPr>
            <w:tcW w:w="53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bCs/>
                <w:color w:val="000000"/>
                <w:sz w:val="22"/>
                <w:szCs w:val="22"/>
              </w:rPr>
            </w:pPr>
          </w:p>
        </w:tc>
      </w:tr>
      <w:tr>
        <w:tblPrEx>
          <w:tblLayout w:type="fixed"/>
          <w:tblCellMar>
            <w:top w:w="0" w:type="dxa"/>
            <w:left w:w="0" w:type="dxa"/>
            <w:bottom w:w="0" w:type="dxa"/>
            <w:right w:w="0" w:type="dxa"/>
          </w:tblCellMar>
        </w:tblPrEx>
        <w:trPr>
          <w:trHeight w:val="2195" w:hRule="atLeast"/>
        </w:trPr>
        <w:tc>
          <w:tcPr>
            <w:tcW w:w="1530"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40" w:lineRule="exact"/>
              <w:jc w:val="both"/>
              <w:textAlignment w:val="center"/>
              <w:rPr>
                <w:rFonts w:hint="eastAsia" w:ascii="黑体" w:hAnsi="黑体" w:eastAsia="黑体" w:cs="黑体"/>
                <w:bCs/>
                <w:color w:val="000000"/>
                <w:sz w:val="28"/>
                <w:szCs w:val="28"/>
                <w:lang w:eastAsia="zh-CN"/>
              </w:rPr>
            </w:pPr>
            <w:r>
              <w:rPr>
                <w:rFonts w:hint="eastAsia" w:ascii="黑体" w:hAnsi="黑体" w:eastAsia="黑体" w:cs="黑体"/>
                <w:bCs/>
                <w:color w:val="000000"/>
                <w:sz w:val="28"/>
                <w:szCs w:val="28"/>
                <w:lang w:eastAsia="zh-CN"/>
              </w:rPr>
              <w:t>所在单位</w:t>
            </w:r>
          </w:p>
          <w:p>
            <w:pPr>
              <w:widowControl/>
              <w:spacing w:line="340" w:lineRule="exact"/>
              <w:jc w:val="both"/>
              <w:textAlignment w:val="center"/>
              <w:rPr>
                <w:rFonts w:hint="eastAsia" w:ascii="黑体" w:hAnsi="黑体" w:eastAsia="黑体" w:cs="黑体"/>
                <w:bCs/>
                <w:color w:val="000000"/>
                <w:sz w:val="28"/>
                <w:szCs w:val="28"/>
                <w:lang w:eastAsia="zh-CN"/>
              </w:rPr>
            </w:pPr>
            <w:r>
              <w:rPr>
                <w:rFonts w:hint="eastAsia" w:ascii="黑体" w:hAnsi="黑体" w:eastAsia="黑体" w:cs="黑体"/>
                <w:bCs/>
                <w:color w:val="000000"/>
                <w:sz w:val="28"/>
                <w:szCs w:val="28"/>
                <w:lang w:eastAsia="zh-CN"/>
              </w:rPr>
              <w:t>报考意见</w:t>
            </w:r>
          </w:p>
        </w:tc>
        <w:tc>
          <w:tcPr>
            <w:tcW w:w="7572"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 xml:space="preserve">   </w:t>
            </w:r>
          </w:p>
          <w:p>
            <w:pPr>
              <w:widowControl/>
              <w:spacing w:line="340" w:lineRule="exact"/>
              <w:jc w:val="left"/>
              <w:textAlignment w:val="center"/>
              <w:rPr>
                <w:rFonts w:hint="eastAsia" w:ascii="黑体" w:hAnsi="黑体" w:eastAsia="黑体" w:cs="黑体"/>
                <w:bCs/>
                <w:color w:val="000000"/>
                <w:sz w:val="28"/>
                <w:szCs w:val="28"/>
                <w:lang w:val="en-US" w:eastAsia="zh-CN"/>
              </w:rPr>
            </w:pPr>
          </w:p>
          <w:p>
            <w:pPr>
              <w:widowControl/>
              <w:spacing w:line="340" w:lineRule="exact"/>
              <w:jc w:val="left"/>
              <w:textAlignment w:val="center"/>
              <w:rPr>
                <w:rFonts w:hint="eastAsia" w:ascii="黑体" w:hAnsi="黑体" w:eastAsia="黑体" w:cs="黑体"/>
                <w:bCs/>
                <w:color w:val="000000"/>
                <w:sz w:val="28"/>
                <w:szCs w:val="28"/>
                <w:lang w:val="en-US" w:eastAsia="zh-CN"/>
              </w:rPr>
            </w:pPr>
          </w:p>
          <w:p>
            <w:pPr>
              <w:widowControl/>
              <w:spacing w:line="340" w:lineRule="exact"/>
              <w:ind w:firstLine="2520" w:firstLineChars="900"/>
              <w:jc w:val="left"/>
              <w:textAlignment w:val="center"/>
              <w:rPr>
                <w:rFonts w:hint="eastAsia" w:ascii="黑体" w:hAnsi="黑体" w:eastAsia="黑体" w:cs="黑体"/>
                <w:bCs/>
                <w:color w:val="000000"/>
                <w:sz w:val="28"/>
                <w:szCs w:val="28"/>
                <w:lang w:val="en-US" w:eastAsia="zh-CN"/>
              </w:rPr>
            </w:pPr>
          </w:p>
          <w:p>
            <w:pPr>
              <w:widowControl/>
              <w:spacing w:line="340" w:lineRule="exact"/>
              <w:ind w:firstLine="2520" w:firstLineChars="900"/>
              <w:jc w:val="left"/>
              <w:textAlignment w:val="center"/>
              <w:rPr>
                <w:rFonts w:hint="eastAsia" w:ascii="仿宋_GB2312" w:hAnsi="仿宋_GB2312" w:eastAsia="仿宋_GB2312" w:cs="仿宋_GB2312"/>
                <w:bCs/>
                <w:color w:val="000000"/>
                <w:sz w:val="28"/>
                <w:szCs w:val="28"/>
                <w:lang w:val="en-US" w:eastAsia="zh-CN"/>
              </w:rPr>
            </w:pPr>
            <w:r>
              <w:rPr>
                <w:rFonts w:hint="eastAsia" w:ascii="黑体" w:hAnsi="黑体" w:eastAsia="黑体" w:cs="黑体"/>
                <w:bCs/>
                <w:color w:val="000000"/>
                <w:sz w:val="28"/>
                <w:szCs w:val="28"/>
                <w:lang w:val="en-US" w:eastAsia="zh-CN"/>
              </w:rPr>
              <w:t>负责人：</w:t>
            </w:r>
            <w:r>
              <w:rPr>
                <w:rFonts w:hint="eastAsia" w:ascii="仿宋_GB2312" w:hAnsi="仿宋_GB2312" w:eastAsia="仿宋_GB2312" w:cs="仿宋_GB2312"/>
                <w:bCs/>
                <w:color w:val="000000"/>
                <w:sz w:val="28"/>
                <w:szCs w:val="28"/>
                <w:lang w:val="en-US" w:eastAsia="zh-CN"/>
              </w:rPr>
              <w:t xml:space="preserve">            </w:t>
            </w:r>
          </w:p>
          <w:p>
            <w:pPr>
              <w:widowControl/>
              <w:spacing w:line="340" w:lineRule="exact"/>
              <w:ind w:firstLine="5040" w:firstLineChars="1800"/>
              <w:jc w:val="left"/>
              <w:textAlignment w:val="center"/>
              <w:rPr>
                <w:rFonts w:hint="default" w:ascii="黑体" w:hAnsi="黑体" w:eastAsia="黑体" w:cs="黑体"/>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（单位盖章）</w:t>
            </w:r>
          </w:p>
        </w:tc>
      </w:tr>
    </w:tbl>
    <w:p>
      <w:pPr>
        <w:rPr>
          <w:rFonts w:ascii="仿宋_GB2312" w:hAnsi="仿宋_GB2312" w:eastAsia="仿宋_GB2312" w:cs="仿宋_GB2312"/>
          <w:sz w:val="32"/>
          <w:szCs w:val="32"/>
        </w:rPr>
        <w:sectPr>
          <w:footerReference r:id="rId3" w:type="default"/>
          <w:pgSz w:w="11906" w:h="16838"/>
          <w:pgMar w:top="1417" w:right="1417" w:bottom="1417" w:left="141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pacing w:val="-20"/>
          <w:w w:val="100"/>
          <w:sz w:val="40"/>
          <w:szCs w:val="40"/>
          <w:highlight w:val="none"/>
          <w:lang w:val="en-US" w:eastAsia="zh-CN"/>
        </w:rPr>
      </w:pPr>
      <w:r>
        <w:rPr>
          <w:rFonts w:hint="eastAsia" w:ascii="方正小标宋简体" w:hAnsi="方正小标宋简体" w:eastAsia="方正小标宋简体" w:cs="方正小标宋简体"/>
          <w:b w:val="0"/>
          <w:bCs w:val="0"/>
          <w:color w:val="auto"/>
          <w:spacing w:val="-20"/>
          <w:w w:val="100"/>
          <w:sz w:val="40"/>
          <w:szCs w:val="40"/>
          <w:highlight w:val="none"/>
          <w:lang w:val="en-US" w:eastAsia="zh-CN"/>
        </w:rPr>
        <w:t>中共绵阳市游仙区委党校2021年下半年公开选聘专职教师考生新冠肺炎疫情防控告知暨承诺书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为深入贯彻落实新冠肺炎疫情防控有关要求，全力确保每一位考生安全健康，现就疫情防</w:t>
      </w:r>
      <w:r>
        <w:rPr>
          <w:rFonts w:hint="eastAsia" w:ascii="仿宋_GB2312" w:hAnsi="仿宋_GB2312" w:eastAsia="仿宋_GB2312" w:cs="仿宋_GB2312"/>
          <w:color w:val="auto"/>
          <w:sz w:val="32"/>
          <w:szCs w:val="32"/>
          <w:highlight w:val="none"/>
          <w:lang w:eastAsia="zh-CN"/>
        </w:rPr>
        <w:t>控</w:t>
      </w:r>
      <w:r>
        <w:rPr>
          <w:rFonts w:hint="eastAsia" w:ascii="仿宋_GB2312" w:hAnsi="仿宋_GB2312" w:eastAsia="仿宋_GB2312" w:cs="仿宋_GB2312"/>
          <w:color w:val="auto"/>
          <w:sz w:val="32"/>
          <w:szCs w:val="32"/>
          <w:highlight w:val="none"/>
          <w:lang w:val="en-US" w:eastAsia="zh-CN"/>
        </w:rPr>
        <w:t>事项告知如下</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请广大考生注意做好自我健康管理，通过微信小程序“国家政务服务平台”申领本人防疫健康码，并持续关注健康码状态。</w:t>
      </w:r>
      <w:r>
        <w:rPr>
          <w:rFonts w:ascii="仿宋_GB2312" w:hAnsi="仿宋_GB2312" w:eastAsia="仿宋_GB2312" w:cs="仿宋_GB2312"/>
          <w:color w:val="auto"/>
          <w:sz w:val="32"/>
          <w:szCs w:val="32"/>
          <w:highlight w:val="none"/>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640" w:firstLineChars="200"/>
        <w:jc w:val="both"/>
        <w:textAlignment w:val="auto"/>
        <w:rPr>
          <w:rFonts w:ascii="仿宋_GB2312" w:hAnsi="Times New Roman" w:eastAsia="仿宋_GB2312" w:cstheme="minorBidi"/>
          <w:bCs/>
          <w:color w:val="auto"/>
          <w:kern w:val="2"/>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2.</w:t>
      </w:r>
      <w:r>
        <w:rPr>
          <w:rFonts w:hint="eastAsia" w:ascii="仿宋_GB2312" w:hAnsi="Times New Roman" w:eastAsia="仿宋_GB2312" w:cstheme="minorBidi"/>
          <w:bCs/>
          <w:color w:val="auto"/>
          <w:kern w:val="2"/>
          <w:sz w:val="32"/>
          <w:szCs w:val="32"/>
          <w:highlight w:val="none"/>
          <w:lang w:val="en-US" w:eastAsia="zh-CN" w:bidi="ar"/>
        </w:rPr>
        <w:t>考生前往游仙区委党校参加考试和体检时如确需乘坐公共交通工具应做好个人防护，全程佩戴口罩，</w:t>
      </w:r>
      <w:r>
        <w:rPr>
          <w:rFonts w:hint="eastAsia" w:ascii="仿宋_GB2312" w:hAnsi="仿宋_GB2312" w:eastAsia="仿宋_GB2312" w:cs="仿宋_GB2312"/>
          <w:color w:val="auto"/>
          <w:kern w:val="0"/>
          <w:sz w:val="32"/>
          <w:szCs w:val="32"/>
          <w:highlight w:val="none"/>
          <w:lang w:val="en-US" w:eastAsia="zh-CN" w:bidi="ar"/>
        </w:rPr>
        <w:t>可佩戴一次性手套，并做好手部卫生，同时注意社交距离。</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cstheme="minorBidi"/>
          <w:bCs/>
          <w:color w:val="auto"/>
          <w:sz w:val="32"/>
          <w:szCs w:val="32"/>
          <w:highlight w:val="none"/>
        </w:rPr>
        <w:t>考生在</w:t>
      </w:r>
      <w:r>
        <w:rPr>
          <w:rFonts w:hint="eastAsia" w:ascii="仿宋_GB2312" w:hAnsi="Times New Roman" w:eastAsia="仿宋_GB2312" w:cstheme="minorBidi"/>
          <w:bCs/>
          <w:color w:val="auto"/>
          <w:sz w:val="32"/>
          <w:szCs w:val="32"/>
          <w:highlight w:val="none"/>
          <w:lang w:val="en-US" w:eastAsia="zh-CN"/>
        </w:rPr>
        <w:t>考试、</w:t>
      </w:r>
      <w:r>
        <w:rPr>
          <w:rFonts w:hint="eastAsia" w:ascii="仿宋_GB2312" w:hAnsi="Times New Roman" w:eastAsia="仿宋_GB2312" w:cstheme="minorBidi"/>
          <w:bCs/>
          <w:color w:val="auto"/>
          <w:sz w:val="32"/>
          <w:szCs w:val="32"/>
          <w:highlight w:val="none"/>
        </w:rPr>
        <w:t>体检等招</w:t>
      </w:r>
      <w:r>
        <w:rPr>
          <w:rFonts w:hint="eastAsia" w:ascii="仿宋_GB2312" w:hAnsi="仿宋_GB2312" w:eastAsia="仿宋_GB2312" w:cs="仿宋_GB2312"/>
          <w:color w:val="auto"/>
          <w:sz w:val="32"/>
          <w:szCs w:val="32"/>
          <w:highlight w:val="none"/>
        </w:rPr>
        <w:t>聘过程中应佩戴口罩；</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面试</w:t>
      </w:r>
      <w:r>
        <w:rPr>
          <w:rFonts w:hint="eastAsia" w:ascii="仿宋_GB2312" w:hAnsi="仿宋_GB2312" w:eastAsia="仿宋_GB2312" w:cs="仿宋_GB2312"/>
          <w:color w:val="auto"/>
          <w:sz w:val="32"/>
          <w:szCs w:val="32"/>
          <w:highlight w:val="none"/>
          <w:lang w:eastAsia="zh-CN"/>
        </w:rPr>
        <w:t>和试讲</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小时到达</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场地；进入</w:t>
      </w:r>
      <w:r>
        <w:rPr>
          <w:rFonts w:hint="eastAsia" w:ascii="仿宋_GB2312" w:hAnsi="Times New Roman" w:eastAsia="仿宋_GB2312" w:cstheme="minorBidi"/>
          <w:bCs/>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Times New Roman" w:eastAsia="仿宋_GB2312" w:cstheme="minorBidi"/>
          <w:bCs/>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Times New Roman" w:eastAsia="仿宋_GB2312" w:cstheme="minorBidi"/>
          <w:bCs/>
          <w:color w:val="auto"/>
          <w:sz w:val="32"/>
          <w:szCs w:val="32"/>
          <w:highlight w:val="none"/>
        </w:rPr>
        <w:t>考生在</w:t>
      </w:r>
      <w:r>
        <w:rPr>
          <w:rFonts w:hint="eastAsia" w:ascii="仿宋_GB2312" w:hAnsi="Times New Roman" w:eastAsia="仿宋_GB2312" w:cstheme="minorBidi"/>
          <w:bCs/>
          <w:color w:val="auto"/>
          <w:sz w:val="32"/>
          <w:szCs w:val="32"/>
          <w:highlight w:val="none"/>
          <w:lang w:eastAsia="zh-CN"/>
        </w:rPr>
        <w:t>考试</w:t>
      </w:r>
      <w:r>
        <w:rPr>
          <w:rFonts w:hint="eastAsia" w:ascii="仿宋_GB2312" w:hAnsi="Times New Roman" w:eastAsia="仿宋_GB2312" w:cstheme="minorBidi"/>
          <w:bCs/>
          <w:color w:val="auto"/>
          <w:sz w:val="32"/>
          <w:szCs w:val="32"/>
          <w:highlight w:val="none"/>
        </w:rPr>
        <w:t>、体检前14天内有中高风险地区所在直辖市、省会城市或地级市旅居史，以及公布本土新增感染者但暂未划定中高风险地区所在直辖市、省会城市或地级市旅居史的考生，需提供本人</w:t>
      </w:r>
      <w:r>
        <w:rPr>
          <w:rFonts w:hint="eastAsia" w:ascii="仿宋_GB2312" w:hAnsi="Times New Roman" w:eastAsia="仿宋_GB2312" w:cstheme="minorBidi"/>
          <w:bCs/>
          <w:color w:val="auto"/>
          <w:sz w:val="32"/>
          <w:szCs w:val="32"/>
          <w:highlight w:val="none"/>
          <w:lang w:eastAsia="zh-CN"/>
        </w:rPr>
        <w:t>考试</w:t>
      </w:r>
      <w:r>
        <w:rPr>
          <w:rFonts w:hint="eastAsia" w:ascii="仿宋_GB2312" w:hAnsi="Times New Roman" w:eastAsia="仿宋_GB2312" w:cstheme="minorBidi"/>
          <w:bCs/>
          <w:color w:val="auto"/>
          <w:sz w:val="32"/>
          <w:szCs w:val="32"/>
          <w:highlight w:val="none"/>
        </w:rPr>
        <w:t>、体检前3天内2次（采样时间间隔24小时）新冠病毒核酸检测阴性报告证明</w:t>
      </w:r>
      <w:r>
        <w:rPr>
          <w:rFonts w:hint="eastAsia" w:ascii="仿宋_GB2312" w:hAnsi="Times New Roman" w:eastAsia="仿宋_GB2312" w:cstheme="minorBidi"/>
          <w:bCs/>
          <w:color w:val="auto"/>
          <w:sz w:val="32"/>
          <w:szCs w:val="32"/>
          <w:highlight w:val="none"/>
          <w:lang w:eastAsia="zh-CN"/>
        </w:rPr>
        <w:t>（</w:t>
      </w:r>
      <w:r>
        <w:rPr>
          <w:rFonts w:hint="eastAsia" w:ascii="仿宋_GB2312" w:hAnsi="Times New Roman" w:eastAsia="仿宋_GB2312" w:cstheme="minorBidi"/>
          <w:bCs/>
          <w:color w:val="auto"/>
          <w:sz w:val="32"/>
          <w:szCs w:val="32"/>
          <w:highlight w:val="none"/>
        </w:rPr>
        <w:t>纸质版、电子版均可</w:t>
      </w:r>
      <w:r>
        <w:rPr>
          <w:rFonts w:hint="eastAsia" w:ascii="仿宋_GB2312" w:hAnsi="Times New Roman" w:eastAsia="仿宋_GB2312" w:cstheme="minorBidi"/>
          <w:bCs/>
          <w:color w:val="auto"/>
          <w:sz w:val="32"/>
          <w:szCs w:val="32"/>
          <w:highlight w:val="none"/>
          <w:lang w:eastAsia="zh-CN"/>
        </w:rPr>
        <w:t>）</w:t>
      </w:r>
      <w:r>
        <w:rPr>
          <w:rFonts w:hint="eastAsia" w:ascii="仿宋_GB2312" w:hAnsi="Times New Roman" w:eastAsia="仿宋_GB2312" w:cstheme="minorBidi"/>
          <w:bCs/>
          <w:color w:val="auto"/>
          <w:sz w:val="32"/>
          <w:szCs w:val="32"/>
          <w:highlight w:val="none"/>
        </w:rPr>
        <w:t>，方可参考。</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、体检场地，参加面试</w:t>
      </w:r>
      <w:r>
        <w:rPr>
          <w:rFonts w:hint="eastAsia" w:ascii="仿宋_GB2312" w:hAnsi="仿宋_GB2312" w:eastAsia="仿宋_GB2312" w:cs="仿宋_GB2312"/>
          <w:color w:val="auto"/>
          <w:sz w:val="32"/>
          <w:szCs w:val="32"/>
          <w:highlight w:val="none"/>
          <w:lang w:eastAsia="zh-CN"/>
        </w:rPr>
        <w:t>、试讲</w:t>
      </w:r>
      <w:r>
        <w:rPr>
          <w:rFonts w:hint="eastAsia" w:ascii="仿宋_GB2312" w:hAnsi="仿宋_GB2312" w:eastAsia="仿宋_GB2312" w:cs="仿宋_GB2312"/>
          <w:color w:val="auto"/>
          <w:sz w:val="32"/>
          <w:szCs w:val="32"/>
          <w:highlight w:val="none"/>
        </w:rPr>
        <w:t>应当全程佩戴口罩。建议考生准备手套、消毒湿巾、速干手消毒剂等防护物资。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期间，考生要自觉维护考试秩序，与其他考生保持安全距离，服从现场工作人员安排，</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结束后按规定有序离场。考生在</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过程中被发现或主动报告身体不适，经复测复查确有发热、咳嗽等呼吸道异常症状，由驻点医务人员进行个案预判，具备继续完成</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w:t>
      </w:r>
      <w:r>
        <w:rPr>
          <w:rFonts w:hint="eastAsia" w:ascii="仿宋_GB2312" w:hAnsi="仿宋_GB2312" w:eastAsia="仿宋_GB2312" w:cs="仿宋_GB2312"/>
          <w:color w:val="auto"/>
          <w:sz w:val="32"/>
          <w:szCs w:val="32"/>
          <w:highlight w:val="none"/>
          <w:lang w:val="en-US" w:eastAsia="zh-CN"/>
        </w:rPr>
        <w:t>报名</w:t>
      </w:r>
      <w:r>
        <w:rPr>
          <w:rFonts w:hint="eastAsia" w:ascii="仿宋_GB2312" w:hAnsi="仿宋_GB2312" w:eastAsia="仿宋_GB2312" w:cs="仿宋_GB2312"/>
          <w:color w:val="auto"/>
          <w:sz w:val="32"/>
          <w:szCs w:val="32"/>
          <w:highlight w:val="none"/>
        </w:rPr>
        <w:t>前应签署《</w:t>
      </w:r>
      <w:r>
        <w:rPr>
          <w:rFonts w:hint="eastAsia" w:ascii="仿宋_GB2312" w:hAnsi="仿宋_GB2312" w:eastAsia="仿宋_GB2312" w:cs="仿宋_GB2312"/>
          <w:color w:val="auto"/>
          <w:sz w:val="32"/>
          <w:szCs w:val="32"/>
          <w:highlight w:val="none"/>
          <w:lang w:val="en-US" w:eastAsia="zh-CN"/>
        </w:rPr>
        <w:t>中共绵阳市游仙区委党校2021年下半年公开选聘专职教师考生新冠肺炎疫情防控告知暨承诺书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终止考试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鉴于近期国内疫情多点散发、局部集中，考试疫情防控相关规定将根据国家和</w:t>
      </w:r>
      <w:r>
        <w:rPr>
          <w:rFonts w:hint="eastAsia" w:ascii="仿宋_GB2312" w:hAnsi="仿宋_GB2312" w:eastAsia="仿宋_GB2312" w:cs="仿宋_GB2312"/>
          <w:color w:val="auto"/>
          <w:sz w:val="32"/>
          <w:szCs w:val="32"/>
          <w:highlight w:val="none"/>
          <w:lang w:val="en-US" w:eastAsia="zh-CN"/>
        </w:rPr>
        <w:t>省市区</w:t>
      </w:r>
      <w:r>
        <w:rPr>
          <w:rFonts w:hint="eastAsia" w:ascii="仿宋_GB2312" w:hAnsi="仿宋_GB2312" w:eastAsia="仿宋_GB2312" w:cs="仿宋_GB2312"/>
          <w:color w:val="auto"/>
          <w:sz w:val="32"/>
          <w:szCs w:val="32"/>
          <w:highlight w:val="none"/>
        </w:rPr>
        <w:t>疫情防控的总体部署和最新要求进行动态调整，本疫情承诺书的疫情防控要求与</w:t>
      </w:r>
      <w:r>
        <w:rPr>
          <w:rFonts w:hint="eastAsia" w:ascii="仿宋_GB2312" w:hAnsi="仿宋_GB2312" w:eastAsia="仿宋_GB2312" w:cs="仿宋_GB2312"/>
          <w:color w:val="auto"/>
          <w:sz w:val="32"/>
          <w:szCs w:val="32"/>
          <w:highlight w:val="none"/>
          <w:lang w:val="en-US" w:eastAsia="zh-CN"/>
        </w:rPr>
        <w:t>最新</w:t>
      </w:r>
      <w:r>
        <w:rPr>
          <w:rFonts w:hint="eastAsia" w:ascii="仿宋_GB2312" w:hAnsi="仿宋_GB2312" w:eastAsia="仿宋_GB2312" w:cs="仿宋_GB2312"/>
          <w:color w:val="auto"/>
          <w:sz w:val="32"/>
          <w:szCs w:val="32"/>
          <w:highlight w:val="none"/>
        </w:rPr>
        <w:t>疫情防控要求不一致的，以</w:t>
      </w:r>
      <w:r>
        <w:rPr>
          <w:rFonts w:hint="eastAsia" w:ascii="仿宋_GB2312" w:hAnsi="仿宋_GB2312" w:eastAsia="仿宋_GB2312" w:cs="仿宋_GB2312"/>
          <w:color w:val="auto"/>
          <w:sz w:val="32"/>
          <w:szCs w:val="32"/>
          <w:highlight w:val="none"/>
          <w:lang w:val="en-US" w:eastAsia="zh-CN"/>
        </w:rPr>
        <w:t>最新</w:t>
      </w:r>
      <w:r>
        <w:rPr>
          <w:rFonts w:hint="eastAsia" w:ascii="仿宋_GB2312" w:hAnsi="仿宋_GB2312" w:eastAsia="仿宋_GB2312" w:cs="仿宋_GB2312"/>
          <w:color w:val="auto"/>
          <w:sz w:val="32"/>
          <w:szCs w:val="32"/>
          <w:highlight w:val="none"/>
        </w:rPr>
        <w:t>疫情防控要求为准。请考生密切关注最新防疫要求，并严格按相关规定执行。</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中共绵阳市游仙区委党校2021年下半年公开选聘专职教师考生新冠肺炎疫情防控告知暨承诺书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2021年  月  日</w:t>
      </w:r>
    </w:p>
    <w:p>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right="210" w:rightChars="100" w:firstLine="280" w:firstLineChars="1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ind w:right="210" w:rightChars="100" w:firstLine="280" w:firstLineChars="1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9010B"/>
    <w:rsid w:val="3E2901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Default"/>
    <w:basedOn w:val="1"/>
    <w:qFormat/>
    <w:uiPriority w:val="0"/>
    <w:pPr>
      <w:autoSpaceDE w:val="0"/>
      <w:autoSpaceDN w:val="0"/>
      <w:adjustRightInd w:val="0"/>
      <w:jc w:val="left"/>
    </w:pPr>
    <w:rPr>
      <w:rFonts w:ascii="仿宋_GB2312" w:hAnsi="宋体" w:eastAsia="仿宋_GB2312"/>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2021-12-02T02:47:00Z</dcterms:created>
  <dc:creator>jp</dc:creator>
  <cp:lastModifiedBy>jp</cp:lastModifiedBy>
  <dcterms:modified xsi:type="dcterms:W3CDTF">2021-12-02T02:47:50Z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