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t>附件:3：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center"/>
        <w:rPr>
          <w:rFonts w:hint="eastAsia" w:ascii="华文仿宋" w:hAnsi="华文仿宋" w:eastAsia="华文仿宋" w:cs="仿宋_GB2312"/>
          <w:b w:val="0"/>
          <w:bCs w:val="0"/>
          <w:color w:val="auto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绵阳疫情防控政策（总的防疫政策）</w:t>
      </w:r>
    </w:p>
    <w:bookmarkEnd w:id="0"/>
    <w:p>
      <w:pPr>
        <w:pStyle w:val="3"/>
        <w:shd w:val="clear" w:color="auto" w:fill="FFFFFF"/>
        <w:spacing w:before="0" w:beforeAutospacing="0" w:after="0" w:afterAutospacing="0" w:line="540" w:lineRule="exact"/>
        <w:ind w:firstLine="562" w:firstLineChars="200"/>
        <w:rPr>
          <w:rFonts w:hint="eastAsia"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>境外来返人员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560" w:firstLineChars="200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入境人员从我省口岸入境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必须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完成14天集中隔离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隔离期间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第1、4、7、10、14天完成鼻咽拭子核酸检测，第14天采取双采检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14天集中隔离完成后，由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各地应闭环接回，实施7天集中隔离，不符合集中隔离条件，由社区严格落实7天内居家隔离，于隔离期第2天和第7天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完成鼻咽拭子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核酸检测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第7天采取双采双检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从省外入境解除集中隔离后来(返)绵人员或受邀入绵团队，凡到达我市时入境时间不满21天的，应由属地闭环接送至集中隔离场所，实行隔离直至满21天。隔离期间实行2次鼻咽拭子核酸检测，解除隔离时采用双采双检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562" w:firstLineChars="200"/>
        <w:rPr>
          <w:rFonts w:hint="eastAsia"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>二、国内中高风险地区来返人员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一）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国内中高风险地区划定后，14天内有中高风险地区所在县（市、区）和直辖市、省会城市所在街道旅居史的入（返）川人员，实施居家或集中隔离，每3天进行1次核酸检测，直至离开旅居地满14天为止。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二）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14天内有中高风险地区所在地级市（直辖市、省会城市所在区）旅居史的入（返）川人员，实施3天内2次（间隔24小时）核酸检测，均为阴性的，纳入社区管理，健康监测至离开旅居地满14天为止。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三）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公布本土新增感染者但暂未划定中高风险地区的，以及疫情风险较高的地市相关入（返）川人员参照上述规定执行。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四）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相关地级市（直辖市、省会城市所在区）公布本土感染者后的入（返）川人员，查验48小时核酸检测阴性报告。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bCs/>
          <w:color w:val="auto"/>
          <w:sz w:val="28"/>
          <w:szCs w:val="28"/>
          <w:lang w:val="en-US" w:eastAsia="zh-CN"/>
        </w:rPr>
        <w:t>说明：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居家隔离的由基层医疗卫生机构或疾控机构上门采样。居家隔离是指单人单间单卫，减少与家人接触，个人严禁外出，亲友不串门，家属不聚集。每天测体温并向社区报告健康状况。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ind w:left="0" w:firstLine="0"/>
        <w:jc w:val="left"/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居家健康监测是指单人单卫，减少与其他人接触，做好体温、症状监测，非必要不外出、不聚集，特殊情况外出必须做好个人防护措施，不乘坐公共公共交通工具，不进入人群密集场所。核酸检测工作可由属地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基层医疗卫生机构或疾控机构上门采样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也可以在做好个人防护的基础上就近核酸检测点进行核酸检测。</w:t>
      </w:r>
    </w:p>
    <w:p>
      <w:pPr>
        <w:pStyle w:val="4"/>
        <w:numPr>
          <w:ilvl w:val="0"/>
          <w:numId w:val="0"/>
        </w:numPr>
        <w:ind w:firstLine="562" w:firstLineChars="200"/>
        <w:rPr>
          <w:rFonts w:hint="eastAsia"/>
          <w:color w:val="auto"/>
          <w:lang w:val="en-US" w:eastAsia="zh-CN"/>
        </w:rPr>
      </w:pPr>
      <w:r>
        <w:rPr>
          <w:rFonts w:hint="eastAsia" w:ascii="华文仿宋" w:hAnsi="华文仿宋" w:eastAsia="华文仿宋" w:cs="仿宋_GB2312"/>
          <w:b/>
          <w:bCs/>
          <w:color w:val="auto"/>
          <w:sz w:val="28"/>
          <w:szCs w:val="28"/>
          <w:lang w:val="en-US" w:eastAsia="zh-CN"/>
        </w:rPr>
        <w:t>备注：仅供参考，请以绵阳疾控中心最新公布为准。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3573C"/>
    <w:multiLevelType w:val="singleLevel"/>
    <w:tmpl w:val="5B03573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5451C"/>
    <w:rsid w:val="077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2021-11-22T09:22:00Z</dcterms:created>
  <dc:creator>Administrator</dc:creator>
  <cp:lastModifiedBy>Administrator</cp:lastModifiedBy>
  <dcterms:modified xsi:type="dcterms:W3CDTF">2021-11-22T09:22:41Z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53D93EB4133E43EFA063446C3E8F7243</vt:lpwstr>
  </property>
</Properties>
</file>