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266" w:right="266"/>
        <w:jc w:val="center"/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left="266" w:right="266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共青团重庆市委</w:t>
      </w:r>
    </w:p>
    <w:p>
      <w:pPr>
        <w:widowControl/>
        <w:spacing w:line="600" w:lineRule="exact"/>
        <w:ind w:left="266" w:right="266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2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2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2021年下半年重庆市属事业单位公开招聘工作人员</w:t>
      </w: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lang w:eastAsia="zh-CN"/>
        </w:rPr>
        <w:t>进入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2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资格复审人员名单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pacing w:val="-2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的公告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根据相关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规定，现将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共青团重庆市委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半年重庆市属事业单位公开招聘工作人员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进入资格复审人员名单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见附件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公示期限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受理意见单位及电话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共青团重庆市委组织部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电话：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638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52251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共青团重庆市委直属机关纪委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电话：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63864006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来函地址：重庆市渝中区中山四路81号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邮政编码：400015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反映情况的基本要求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（三）受理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对反映人员和反映的情况严格保密。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、资格复审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9：00至11：30，14：00至17：00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重庆市渝中区中山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重庆市少年宫B区5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会议室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（重庆市儿童医院渝中院区旁）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（三）携带资料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（原件和复印件）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学历证、学位证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美术教师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美术教师资格证书和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3年以上美术教育相关工作经历的证明（附件2），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社保缴费、劳动合同、工资流水其中至少一种材料。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音乐教师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音乐教师资格证书和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3年以上美术教育相关工作经历的证明（附件2），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社保缴费、劳动合同、工资流水其中至少一种材料。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.教研教务岗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提供3年以上文化或教育相关工作经历的证明（附件2），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社保缴费、劳动合同、工资流水其中至少一种材料。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机关事业单位工作人员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机关事业单位工作人员诚信应聘承诺书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（签字盖章）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.其他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需提供的材料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按报考公告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准备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（四）防疫要求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须持资格复审前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内核酸检测阴性证明或包含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复审前48小时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内核酸检测阴性信息的健康码“绿码”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。现场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测量体温，体温＜37.3℃，才能正常进行资格复审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资格复审人员名单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1600" w:firstLineChars="5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2.工作经历证明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ind w:right="160" w:firstLine="640" w:firstLineChars="200"/>
        <w:jc w:val="righ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共青团重庆市委</w:t>
      </w: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 w:cs="Times New Roman"/>
          <w:color w:val="0000FF"/>
          <w:kern w:val="0"/>
          <w:sz w:val="32"/>
          <w:szCs w:val="32"/>
        </w:rPr>
        <w:sectPr>
          <w:footerReference r:id="rId3" w:type="default"/>
          <w:pgSz w:w="11907" w:h="16840"/>
          <w:pgMar w:top="1984" w:right="1446" w:bottom="1644" w:left="1446" w:header="850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进入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资格复审人员名单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883" w:firstLineChars="2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85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680"/>
        <w:gridCol w:w="1520"/>
        <w:gridCol w:w="2180"/>
        <w:gridCol w:w="1631"/>
        <w:gridCol w:w="14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重庆市少年宫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教研教务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玲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12051044318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容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12051044429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李杰群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12051043902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罗先丽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12051044428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颖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12051044606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12051044120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147.5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8"/>
              </w:tabs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并列第6名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皇甫晓琳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12051044319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147.5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美术教师岗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莫成凯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42914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刘一力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42803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范晓莎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43008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音乐教师岗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张雨琪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43208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王雨桐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43030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tblpX="10569" w:tblpY="-9497"/>
        <w:tblOverlap w:val="never"/>
        <w:tblW w:w="3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56" w:type="dxa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7" w:h="16840"/>
          <w:pgMar w:top="1984" w:right="1446" w:bottom="1644" w:left="1446" w:header="850" w:footer="992" w:gutter="0"/>
          <w:pgNumType w:fmt="numberInDash"/>
          <w:cols w:space="425" w:num="1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兹证明_______，身份证号_____________________，于___年___月至___年___月在我单位从事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教育教学工作。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本单位对以上内容的真实性负责。如有不实，愿意承担一切法律责任。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   年  月  日</w:t>
      </w:r>
    </w:p>
    <w:sectPr>
      <w:pgSz w:w="11907" w:h="16840"/>
      <w:pgMar w:top="1984" w:right="1446" w:bottom="1644" w:left="1446" w:header="850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9"/>
    <w:rsid w:val="0001214C"/>
    <w:rsid w:val="00017793"/>
    <w:rsid w:val="00033CFB"/>
    <w:rsid w:val="00040209"/>
    <w:rsid w:val="000D5B1B"/>
    <w:rsid w:val="001526C9"/>
    <w:rsid w:val="00195E75"/>
    <w:rsid w:val="001F592B"/>
    <w:rsid w:val="002919F7"/>
    <w:rsid w:val="003C16F3"/>
    <w:rsid w:val="003C1824"/>
    <w:rsid w:val="0047768F"/>
    <w:rsid w:val="004A54E6"/>
    <w:rsid w:val="004B2C92"/>
    <w:rsid w:val="005E70B6"/>
    <w:rsid w:val="006B4E08"/>
    <w:rsid w:val="0076700B"/>
    <w:rsid w:val="007C51FB"/>
    <w:rsid w:val="009A0A99"/>
    <w:rsid w:val="00A0366E"/>
    <w:rsid w:val="00C04498"/>
    <w:rsid w:val="00C90DCB"/>
    <w:rsid w:val="00CF0A69"/>
    <w:rsid w:val="00D91003"/>
    <w:rsid w:val="00E11563"/>
    <w:rsid w:val="00FF22AF"/>
    <w:rsid w:val="02FA36EF"/>
    <w:rsid w:val="05C31669"/>
    <w:rsid w:val="074F47F1"/>
    <w:rsid w:val="077A0A88"/>
    <w:rsid w:val="096B0470"/>
    <w:rsid w:val="0AA44F29"/>
    <w:rsid w:val="0B9E7723"/>
    <w:rsid w:val="0C564879"/>
    <w:rsid w:val="0C95579D"/>
    <w:rsid w:val="0E1D3CDC"/>
    <w:rsid w:val="0F1D3EFD"/>
    <w:rsid w:val="13966D64"/>
    <w:rsid w:val="15343770"/>
    <w:rsid w:val="18BC7185"/>
    <w:rsid w:val="18CC39AB"/>
    <w:rsid w:val="18EA3501"/>
    <w:rsid w:val="191B0709"/>
    <w:rsid w:val="19932CA7"/>
    <w:rsid w:val="1A961352"/>
    <w:rsid w:val="1ABF234B"/>
    <w:rsid w:val="1C2876DF"/>
    <w:rsid w:val="1C833C76"/>
    <w:rsid w:val="1C9D2649"/>
    <w:rsid w:val="1CF509B3"/>
    <w:rsid w:val="1EC9468B"/>
    <w:rsid w:val="1F034E79"/>
    <w:rsid w:val="20432638"/>
    <w:rsid w:val="2130046B"/>
    <w:rsid w:val="23E06E0C"/>
    <w:rsid w:val="250E5D48"/>
    <w:rsid w:val="289809C0"/>
    <w:rsid w:val="291A23E7"/>
    <w:rsid w:val="2DDF4725"/>
    <w:rsid w:val="2EB041E9"/>
    <w:rsid w:val="2FB23E49"/>
    <w:rsid w:val="306202D2"/>
    <w:rsid w:val="345B5312"/>
    <w:rsid w:val="383F168B"/>
    <w:rsid w:val="38CA12EB"/>
    <w:rsid w:val="3A281315"/>
    <w:rsid w:val="3AAC4011"/>
    <w:rsid w:val="3AE530F8"/>
    <w:rsid w:val="3DEC2C04"/>
    <w:rsid w:val="3F4907BD"/>
    <w:rsid w:val="438D7C2E"/>
    <w:rsid w:val="439B3783"/>
    <w:rsid w:val="491508D7"/>
    <w:rsid w:val="49B447ED"/>
    <w:rsid w:val="4A940B62"/>
    <w:rsid w:val="4BEF5641"/>
    <w:rsid w:val="4E111549"/>
    <w:rsid w:val="4F44009F"/>
    <w:rsid w:val="516E0467"/>
    <w:rsid w:val="53491C0D"/>
    <w:rsid w:val="53BD00CC"/>
    <w:rsid w:val="54351F2A"/>
    <w:rsid w:val="570E3E9F"/>
    <w:rsid w:val="58E35CB4"/>
    <w:rsid w:val="594F51D4"/>
    <w:rsid w:val="5AA67BD2"/>
    <w:rsid w:val="5B5B0E10"/>
    <w:rsid w:val="5C25404D"/>
    <w:rsid w:val="5D927D8D"/>
    <w:rsid w:val="5EE30B66"/>
    <w:rsid w:val="6018583D"/>
    <w:rsid w:val="608655FE"/>
    <w:rsid w:val="60FE7F7B"/>
    <w:rsid w:val="624B165B"/>
    <w:rsid w:val="63215AC0"/>
    <w:rsid w:val="657927B1"/>
    <w:rsid w:val="67C465CE"/>
    <w:rsid w:val="680B2B0F"/>
    <w:rsid w:val="68143F18"/>
    <w:rsid w:val="6B157F2B"/>
    <w:rsid w:val="6BD47404"/>
    <w:rsid w:val="6DB776FC"/>
    <w:rsid w:val="6DFF74EB"/>
    <w:rsid w:val="6E057309"/>
    <w:rsid w:val="6EA50F2A"/>
    <w:rsid w:val="6FF3717F"/>
    <w:rsid w:val="724E72E1"/>
    <w:rsid w:val="72B832BB"/>
    <w:rsid w:val="735F34BD"/>
    <w:rsid w:val="7BE760BC"/>
    <w:rsid w:val="7E4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headi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report_n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6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_GBK" w:hAnsi="宋体" w:eastAsia="方正小标宋_GBK" w:cs="宋体"/>
      <w:b/>
      <w:bCs/>
      <w:kern w:val="0"/>
      <w:sz w:val="32"/>
      <w:szCs w:val="32"/>
    </w:rPr>
  </w:style>
  <w:style w:type="character" w:customStyle="1" w:styleId="28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2018-03-19T08:36:00Z</dcterms:created>
  <dc:creator>HP</dc:creator>
  <cp:lastModifiedBy>糖醋</cp:lastModifiedBy>
  <cp:lastPrinted>2021-11-19T10:16:00Z</cp:lastPrinted>
  <dcterms:modified xsi:type="dcterms:W3CDTF">2021-11-22T01:09:55Z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43CA1FA3EED749338B92B06051B14D95</vt:lpwstr>
  </property>
</Properties>
</file>