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我已仔细阅读《202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以下第（   ）项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的20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毕业并取得学历（学位）证书的高校毕业生，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关系仍保留在原毕业学校，或保留在各级毕业生就业主管部门(毕业生就业指导服务中心)、各级人才交流服务机构和各级公共就业服务机构。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在国（境）外教学科研机构学习，与201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留学毕业生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大学生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的人员，之前无工作经历，服务期满且考核合格后2年内的高校毕业生（即：服务期满时间在2018年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月1日至202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年8月31日）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35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BD17EE3"/>
    <w:rsid w:val="178C26D2"/>
    <w:rsid w:val="20C30273"/>
    <w:rsid w:val="37494430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dcterms:modified xsi:type="dcterms:W3CDTF">2021-10-22T00:23:21Z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1BDE29254ABD4851BA14C0C040F895C1</vt:lpwstr>
  </property>
</Properties>
</file>