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Cs w:val="21"/>
          <w:lang w:bidi="ar"/>
          <w14:textFill>
            <w14:solidFill>
              <w14:schemeClr w14:val="tx1"/>
            </w14:solidFill>
          </w14:textFill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4"/>
          <w:szCs w:val="24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纳雍县中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医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医院202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年面向社会公开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4"/>
          <w:szCs w:val="24"/>
          <w:lang w:eastAsia="zh-CN" w:bidi="ar"/>
          <w14:textFill>
            <w14:solidFill>
              <w14:schemeClr w14:val="tx1"/>
            </w14:solidFill>
          </w14:textFill>
        </w:rPr>
        <w:t>招聘编制外专业技术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人员</w:t>
      </w:r>
      <w:bookmarkStart w:id="0" w:name="_GoBack"/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  <w:t>职位</w:t>
      </w:r>
      <w:r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24"/>
          <w:szCs w:val="24"/>
          <w:lang w:eastAsia="zh-CN" w:bidi="ar"/>
          <w14:textFill>
            <w14:solidFill>
              <w14:schemeClr w14:val="tx1"/>
            </w14:solidFill>
          </w14:textFill>
        </w:rPr>
        <w:t>表</w:t>
      </w:r>
      <w:bookmarkEnd w:id="0"/>
    </w:p>
    <w:tbl>
      <w:tblPr>
        <w:tblStyle w:val="3"/>
        <w:tblpPr w:leftFromText="180" w:rightFromText="180" w:vertAnchor="text" w:horzAnchor="page" w:tblpX="1065" w:tblpY="490"/>
        <w:tblOverlap w:val="never"/>
        <w:tblW w:w="10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3105"/>
        <w:gridCol w:w="795"/>
        <w:gridCol w:w="2865"/>
        <w:gridCol w:w="2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职数（人）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学历、学位要求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临床岗位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中西医临床医学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(骨伤方向)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持有执业医师资格证，规培合格证者优先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中西医临床医学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康复治疗学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麻醉学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医技岗位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药剂岗位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中药学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全日制硕士研究生及以上学历学位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护理岗位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硕士研究生、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持有护士资格证者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行政岗位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公共事业管理（卫生事业管理方向）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公共事业管理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健康服务与管理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医学装备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新闻学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信息岗位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软件工程、数据库应用与信息管理方向、网络工程、医学信息工程、信息与计算机科学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财务岗位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财务管理相关专业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7094F"/>
    <w:rsid w:val="3647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2021-11-04T01:51:00Z</dcterms:created>
  <dc:creator>陈同学</dc:creator>
  <cp:lastModifiedBy>陈同学</cp:lastModifiedBy>
  <dcterms:modified xsi:type="dcterms:W3CDTF">2021-11-04T01:51:53Z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1E1EEB2C9A6B41E48839F7DD09082012</vt:lpwstr>
  </property>
</Properties>
</file>