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附</w:t>
      </w:r>
      <w:r>
        <w:rPr>
          <w:rFonts w:ascii="黑体" w:hAnsi="黑体" w:eastAsia="黑体"/>
          <w:bCs/>
          <w:sz w:val="32"/>
          <w:szCs w:val="32"/>
        </w:rPr>
        <w:t>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</w:p>
    <w:p>
      <w:pPr>
        <w:spacing w:line="338" w:lineRule="auto"/>
        <w:ind w:firstLine="2200" w:firstLineChars="500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2021年商州区公开招聘机关后勤综合服务人员岗位表</w:t>
      </w:r>
    </w:p>
    <w:tbl>
      <w:tblPr>
        <w:tblStyle w:val="4"/>
        <w:tblW w:w="13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858"/>
        <w:gridCol w:w="1565"/>
        <w:gridCol w:w="1502"/>
        <w:gridCol w:w="1372"/>
        <w:gridCol w:w="1704"/>
        <w:gridCol w:w="1791"/>
        <w:gridCol w:w="2044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140" w:type="dxa"/>
            <w:vAlign w:val="top"/>
          </w:tcPr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58" w:type="dxa"/>
            <w:vAlign w:val="top"/>
          </w:tcPr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565" w:type="dxa"/>
            <w:vAlign w:val="top"/>
          </w:tcPr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  <w:t>岗位简称</w:t>
            </w:r>
          </w:p>
        </w:tc>
        <w:tc>
          <w:tcPr>
            <w:tcW w:w="1502" w:type="dxa"/>
            <w:vAlign w:val="top"/>
          </w:tcPr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372" w:type="dxa"/>
            <w:vAlign w:val="top"/>
          </w:tcPr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704" w:type="dxa"/>
            <w:vAlign w:val="top"/>
          </w:tcPr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  <w:t>学历形式</w:t>
            </w:r>
          </w:p>
        </w:tc>
        <w:tc>
          <w:tcPr>
            <w:tcW w:w="1791" w:type="dxa"/>
            <w:vAlign w:val="top"/>
          </w:tcPr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2044" w:type="dxa"/>
            <w:vAlign w:val="top"/>
          </w:tcPr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979" w:type="dxa"/>
            <w:vAlign w:val="top"/>
          </w:tcPr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338" w:lineRule="auto"/>
              <w:jc w:val="center"/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38" w:lineRule="auto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58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岗位一</w:t>
            </w:r>
          </w:p>
        </w:tc>
        <w:tc>
          <w:tcPr>
            <w:tcW w:w="1565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后勤综合服务</w:t>
            </w:r>
          </w:p>
        </w:tc>
        <w:tc>
          <w:tcPr>
            <w:tcW w:w="1502" w:type="dxa"/>
            <w:vAlign w:val="center"/>
          </w:tcPr>
          <w:p>
            <w:pPr>
              <w:spacing w:line="338" w:lineRule="auto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372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704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普通全日制</w:t>
            </w:r>
          </w:p>
        </w:tc>
        <w:tc>
          <w:tcPr>
            <w:tcW w:w="1791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044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商洛户籍，限女性，年龄在26周岁以下</w:t>
            </w:r>
          </w:p>
        </w:tc>
        <w:tc>
          <w:tcPr>
            <w:tcW w:w="979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38" w:lineRule="auto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58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岗位二</w:t>
            </w:r>
          </w:p>
        </w:tc>
        <w:tc>
          <w:tcPr>
            <w:tcW w:w="1565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后勤综合服务</w:t>
            </w:r>
          </w:p>
        </w:tc>
        <w:tc>
          <w:tcPr>
            <w:tcW w:w="1502" w:type="dxa"/>
            <w:vAlign w:val="center"/>
          </w:tcPr>
          <w:p>
            <w:pPr>
              <w:spacing w:line="338" w:lineRule="auto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72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704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普通全日制</w:t>
            </w:r>
          </w:p>
        </w:tc>
        <w:tc>
          <w:tcPr>
            <w:tcW w:w="1791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044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限男性，年龄在28周岁以下，商洛户籍</w:t>
            </w:r>
          </w:p>
        </w:tc>
        <w:tc>
          <w:tcPr>
            <w:tcW w:w="979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38" w:lineRule="auto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58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岗位三</w:t>
            </w:r>
          </w:p>
        </w:tc>
        <w:tc>
          <w:tcPr>
            <w:tcW w:w="1565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502" w:type="dxa"/>
            <w:vAlign w:val="center"/>
          </w:tcPr>
          <w:p>
            <w:pPr>
              <w:spacing w:line="338" w:lineRule="auto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72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水电相关专业</w:t>
            </w:r>
          </w:p>
        </w:tc>
        <w:tc>
          <w:tcPr>
            <w:tcW w:w="1704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791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044" w:type="dxa"/>
            <w:vAlign w:val="center"/>
          </w:tcPr>
          <w:p>
            <w:pPr>
              <w:spacing w:line="338" w:lineRule="auto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限男性，年龄在32周岁以下，具有水电相关资格证。</w:t>
            </w:r>
          </w:p>
        </w:tc>
        <w:tc>
          <w:tcPr>
            <w:tcW w:w="979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E1C7E"/>
    <w:rsid w:val="4A4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2021-10-28T09:50:00Z</dcterms:created>
  <dc:creator>A-ouo-杨柳飞</dc:creator>
  <cp:lastModifiedBy>A-ouo-杨柳飞</cp:lastModifiedBy>
  <dcterms:modified xsi:type="dcterms:W3CDTF">2021-10-28T09:51:01Z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