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tbl>
      <w:tblPr>
        <w:tblStyle w:val="4"/>
        <w:tblpPr w:leftFromText="180" w:rightFromText="180" w:vertAnchor="text" w:horzAnchor="page" w:tblpX="1445" w:tblpY="302"/>
        <w:tblOverlap w:val="never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1035"/>
        <w:gridCol w:w="885"/>
        <w:gridCol w:w="1530"/>
        <w:gridCol w:w="1611"/>
        <w:gridCol w:w="3684"/>
        <w:gridCol w:w="510"/>
        <w:gridCol w:w="1215"/>
        <w:gridCol w:w="1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</w:rPr>
              <w:t>阳泉市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  <w:lang w:eastAsia="zh-CN"/>
              </w:rPr>
              <w:t>体育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</w:rPr>
              <w:t>局</w:t>
            </w:r>
            <w:r>
              <w:rPr>
                <w:rStyle w:val="6"/>
                <w:rFonts w:cs="宋体"/>
                <w:sz w:val="36"/>
                <w:szCs w:val="36"/>
              </w:rPr>
              <w:t>2021</w:t>
            </w:r>
            <w:r>
              <w:rPr>
                <w:rStyle w:val="6"/>
                <w:rFonts w:hint="eastAsia" w:cs="宋体"/>
                <w:sz w:val="36"/>
                <w:szCs w:val="36"/>
              </w:rPr>
              <w:t>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阳泉市体育产业发展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会计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学士学位及以上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2"/>
                <w:szCs w:val="22"/>
                <w:vertAlign w:val="baseline"/>
                <w:lang w:val="en-US" w:eastAsia="zh-CN"/>
              </w:rPr>
              <w:t>会计、会计学、</w:t>
            </w: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sz w:val="22"/>
                <w:szCs w:val="22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阳泉市体育产业发展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体育产业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发展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学士学位及以上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2"/>
                <w:szCs w:val="2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2"/>
                <w:szCs w:val="22"/>
                <w:lang w:val="en-US" w:eastAsia="zh-CN"/>
              </w:rPr>
              <w:t>经济学类、</w:t>
            </w:r>
            <w:r>
              <w:rPr>
                <w:rFonts w:hint="eastAsia" w:ascii="CESI仿宋-GB2312" w:hAnsi="CESI仿宋-GB2312" w:eastAsia="CESI仿宋-GB2312" w:cs="CESI仿宋-GB2312"/>
                <w:sz w:val="22"/>
                <w:szCs w:val="22"/>
              </w:rPr>
              <w:t>体育经济与管理</w:t>
            </w:r>
            <w:r>
              <w:rPr>
                <w:rFonts w:hint="eastAsia" w:ascii="CESI仿宋-GB2312" w:hAnsi="CESI仿宋-GB2312" w:eastAsia="CESI仿宋-GB2312" w:cs="CESI仿宋-GB2312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2"/>
                <w:szCs w:val="22"/>
                <w:lang w:val="en-US" w:eastAsia="zh-CN"/>
              </w:rPr>
              <w:t>应用经济学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应届高校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阳泉市体育产业发展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管理中心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文秘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学士学位及以上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2"/>
                <w:szCs w:val="22"/>
                <w:vertAlign w:val="baseline"/>
                <w:lang w:val="en-US" w:eastAsia="zh-CN"/>
              </w:rPr>
              <w:t>中国语言文学类、新闻传播学类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应届高校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阳泉市体育中心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会计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学士学位及以上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会计、会计学、财务管理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阳泉市城区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1422E"/>
    <w:rsid w:val="2951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2021-10-22T00:52:00Z</dcterms:created>
  <dc:creator>韩慧</dc:creator>
  <cp:lastModifiedBy>韩慧</cp:lastModifiedBy>
  <dcterms:modified xsi:type="dcterms:W3CDTF">2021-10-22T00:53:59Z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F38FB0B6151D469C9D3CC12F0AF5E0A8</vt:lpwstr>
  </property>
</Properties>
</file>