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阜城县人民医院2021年公开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招聘工作人员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），非必要不离开衡水。到笔试、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14天的信息记录并提交纸质版。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请务必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注意截取笔试、面试、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、体检等活动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前14天的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个人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疫情防控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并通知报考单位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  <w:lang w:eastAsia="zh-CN"/>
        </w:rPr>
        <w:t>、面试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  <w:lang w:eastAsia="zh-CN"/>
        </w:rPr>
        <w:t>（面试通知单）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某考生参加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，须打印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笔试前14天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个人健康信息承诺书（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环节）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还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将另行公告通知，请考生随时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关注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0A42"/>
    <w:rsid w:val="2AA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2021-10-21T03:35:00Z</dcterms:created>
  <dc:creator>Administrator</dc:creator>
  <cp:lastModifiedBy>Administrator</cp:lastModifiedBy>
  <dcterms:modified xsi:type="dcterms:W3CDTF">2021-10-21T03:35:39Z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