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2"/>
          <w:szCs w:val="22"/>
        </w:rPr>
      </w:pPr>
      <w:r>
        <w:rPr>
          <w:rFonts w:hint="eastAsia" w:ascii="黑体" w:hAnsi="黑体" w:eastAsia="黑体" w:cs="黑体"/>
          <w:sz w:val="22"/>
          <w:szCs w:val="22"/>
        </w:rPr>
        <w:t>附件2</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jc w:val="center"/>
        <w:textAlignment w:val="auto"/>
        <w:outlineLvl w:val="9"/>
        <w:rPr>
          <w:rFonts w:hint="default" w:ascii="Calibri" w:hAnsi="Calibri" w:cs="Calibri"/>
          <w:sz w:val="21"/>
          <w:szCs w:val="21"/>
        </w:rPr>
      </w:pPr>
      <w:r>
        <w:rPr>
          <w:rFonts w:hint="eastAsia" w:ascii="方正小标宋简体" w:hAnsi="方正小标宋简体" w:eastAsia="方正小标宋简体" w:cs="方正小标宋简体"/>
          <w:sz w:val="44"/>
          <w:szCs w:val="44"/>
        </w:rPr>
        <w:t>村（社区）“两委”班子成员候选人</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jc w:val="center"/>
        <w:textAlignment w:val="auto"/>
        <w:outlineLvl w:val="9"/>
        <w:rPr>
          <w:rFonts w:hint="default" w:ascii="Calibri" w:hAnsi="Calibri" w:cs="Calibri"/>
          <w:sz w:val="21"/>
          <w:szCs w:val="21"/>
        </w:rPr>
      </w:pPr>
      <w:r>
        <w:rPr>
          <w:rFonts w:hint="eastAsia" w:ascii="方正小标宋简体" w:hAnsi="方正小标宋简体" w:eastAsia="方正小标宋简体" w:cs="方正小标宋简体"/>
          <w:sz w:val="44"/>
          <w:szCs w:val="44"/>
        </w:rPr>
        <w:t>“15不能”情形</w:t>
      </w:r>
    </w:p>
    <w:p>
      <w:pPr>
        <w:pStyle w:val="4"/>
        <w:widowControl/>
        <w:pBdr>
          <w:top w:val="none" w:color="auto" w:sz="0" w:space="0"/>
          <w:left w:val="none" w:color="auto" w:sz="0" w:space="0"/>
          <w:bottom w:val="none" w:color="auto" w:sz="0" w:space="0"/>
          <w:right w:val="none" w:color="auto" w:sz="0" w:space="0"/>
        </w:pBdr>
        <w:spacing w:before="0" w:beforeAutospacing="0" w:after="0" w:afterAutospacing="0" w:line="650" w:lineRule="atLeast"/>
        <w:ind w:left="0" w:right="0" w:firstLine="640"/>
        <w:jc w:val="both"/>
        <w:rPr>
          <w:rFonts w:hint="default" w:ascii="Calibri" w:hAnsi="Calibri" w:cs="Calibri"/>
          <w:sz w:val="21"/>
          <w:szCs w:val="21"/>
        </w:rPr>
      </w:pP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64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对党中央决策部署阳奉阴违，搞两面派、伪忠诚，政治上的“两面人”；</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64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受到撤销党内职务及以上处分尚在影响期内或受到留党察看处分期满恢复党员权利未满2年的；</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64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受过刑事处罚、存在“村霸”和涉黑涉恶等问题的；</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64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以家族势力、宗教势力干扰村级事务、影响基层治理，在群众中影响较坏的；</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64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被立案审查或依法留置、逮捕的；</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64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实施、参与非法宗教或信奉邪教的；</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64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近3年内在民主评议党员中被评为不合格党员的；</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64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当前被人民法院确定为失信被执行人的；</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64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因嫖娼、吸毒、扰乱公共秩序等受到行政拘留未满5年的；</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64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搞迷信活动、参与赌博造成恶劣影响，并被公安机关查处未满5年的；</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64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参与到非接待场所上访干扰正常生产和工作秩序的活动，被有关部门查处未满5年的；</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64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换届期间拉帮结派干扰选举，以谣言、非法大（小）字报、暴力威胁等不正当行为干预选民正常表达选举意志，被有关部门查证的；</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64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长期外出或经常不在本村居住不能正常履行职责的；</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64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丧失行为能力或因身体健康等原因不能正常履行职责的；</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40" w:lineRule="exact"/>
        <w:ind w:left="0" w:leftChars="0" w:right="0" w:rightChars="0" w:firstLine="640"/>
        <w:jc w:val="both"/>
        <w:textAlignment w:val="auto"/>
        <w:outlineLvl w:val="9"/>
        <w:rPr>
          <w:rFonts w:hint="default" w:ascii="Calibri" w:hAnsi="Calibri" w:cs="Calibri"/>
          <w:sz w:val="21"/>
          <w:szCs w:val="21"/>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选举前不按规定签订遵守换届纪律承诺书的。</w:t>
      </w:r>
    </w:p>
    <w:p>
      <w:pPr/>
    </w:p>
    <w:sectPr>
      <w:pgSz w:w="11906" w:h="16838"/>
      <w:pgMar w:top="1984"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8170863"/>
    <w:rsid w:val="4A424087"/>
    <w:rsid w:val="7C735496"/>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2021-09-03T21:07:00Z</dcterms:created>
  <dc:creator>%E5%8D%83</dc:creator>
  <cp:lastModifiedBy>Lenovo</cp:lastModifiedBy>
  <cp:lastPrinted>2021-09-22T08:43:00Z</cp:lastPrinted>
  <dcterms:modified xsi:type="dcterms:W3CDTF">2021-09-23T04:29:55Z</dcterms:modified>
  <dc:title>%E5%8D%83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