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ascii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</w:pPr>
    </w:p>
    <w:p>
      <w:pPr>
        <w:spacing w:line="4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2021年菏泽市</w:t>
      </w:r>
      <w:r>
        <w:rPr>
          <w:rFonts w:hint="eastAsia" w:ascii="黑体" w:hAnsi="黑体" w:eastAsia="黑体"/>
          <w:sz w:val="44"/>
          <w:szCs w:val="44"/>
          <w:lang w:eastAsia="zh-CN"/>
        </w:rPr>
        <w:t>应急管理保障和技术服务中心</w:t>
      </w:r>
      <w:r>
        <w:rPr>
          <w:rFonts w:hint="eastAsia" w:ascii="黑体" w:hAnsi="黑体" w:eastAsia="黑体"/>
          <w:sz w:val="44"/>
          <w:szCs w:val="44"/>
        </w:rPr>
        <w:t>拟引进高层次急需紧缺人才名单公示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p>
      <w:pPr>
        <w:spacing w:line="60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按照《2021年菏泽市第二批市直事业单位公开引进高层次急需紧缺人才公告》相关要求，经过报名、资格审查、面试、体检、考察等程序，确定</w:t>
      </w:r>
      <w:r>
        <w:rPr>
          <w:rFonts w:hint="eastAsia" w:ascii="仿宋_GB2312"/>
          <w:sz w:val="32"/>
          <w:szCs w:val="32"/>
          <w:lang w:eastAsia="zh-CN"/>
        </w:rPr>
        <w:t>陈书琪、赵卓、车慧丽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名同志为引进高层次人才拟聘用人员（详细信息见</w:t>
      </w:r>
      <w:r>
        <w:rPr>
          <w:rFonts w:hint="eastAsia" w:ascii="仿宋_GB2312"/>
          <w:sz w:val="32"/>
          <w:szCs w:val="32"/>
          <w:lang w:eastAsia="zh-CN"/>
        </w:rPr>
        <w:t>菏泽市应急管理保障和技术服务中心</w:t>
      </w:r>
      <w:r>
        <w:rPr>
          <w:rFonts w:hint="eastAsia" w:ascii="仿宋_GB2312"/>
          <w:sz w:val="32"/>
          <w:szCs w:val="32"/>
        </w:rPr>
        <w:t>2021年度引进高层次急需紧缺人才基本信息一览表），现予以公示，公示期为</w:t>
      </w:r>
      <w:r>
        <w:rPr>
          <w:rFonts w:hint="eastAsia" w:ascii="仿宋_GB2312"/>
          <w:sz w:val="32"/>
          <w:szCs w:val="32"/>
          <w:lang w:val="en-US" w:eastAsia="zh-CN"/>
        </w:rPr>
        <w:t>2021</w:t>
      </w:r>
      <w:r>
        <w:rPr>
          <w:rFonts w:hint="eastAsia" w:ascii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9</w:t>
      </w:r>
      <w:r>
        <w:rPr>
          <w:rFonts w:hint="eastAsia" w:ascii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1</w:t>
      </w:r>
      <w:r>
        <w:rPr>
          <w:rFonts w:hint="eastAsia" w:ascii="仿宋_GB2312"/>
          <w:sz w:val="32"/>
          <w:szCs w:val="32"/>
        </w:rPr>
        <w:t>日-</w:t>
      </w:r>
      <w:r>
        <w:rPr>
          <w:rFonts w:hint="eastAsia" w:ascii="仿宋_GB2312"/>
          <w:sz w:val="32"/>
          <w:szCs w:val="32"/>
          <w:lang w:val="en-US" w:eastAsia="zh-CN"/>
        </w:rPr>
        <w:t>2021</w:t>
      </w:r>
      <w:r>
        <w:rPr>
          <w:rFonts w:hint="eastAsia" w:ascii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9</w:t>
      </w:r>
      <w:r>
        <w:rPr>
          <w:rFonts w:hint="eastAsia" w:ascii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9</w:t>
      </w:r>
      <w:r>
        <w:rPr>
          <w:rFonts w:hint="eastAsia" w:ascii="仿宋_GB2312"/>
          <w:sz w:val="32"/>
          <w:szCs w:val="32"/>
        </w:rPr>
        <w:t>日。公示期间如有异议，</w:t>
      </w:r>
      <w:r>
        <w:rPr>
          <w:rFonts w:hint="eastAsia" w:ascii="仿宋_GB2312"/>
          <w:sz w:val="32"/>
          <w:szCs w:val="32"/>
          <w:lang w:eastAsia="zh-CN"/>
        </w:rPr>
        <w:t>请实名</w:t>
      </w:r>
      <w:r>
        <w:rPr>
          <w:rFonts w:hint="eastAsia" w:ascii="仿宋_GB2312"/>
          <w:sz w:val="32"/>
          <w:szCs w:val="32"/>
        </w:rPr>
        <w:t>反映，并留下联系方式，以便了解和反馈相关情况，否则不予受理。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接访时间：上午8:30-12:00；下午2:30-6:00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接访地点：菏泽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市应急管理局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419室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</w:rPr>
        <w:t>联系电话：</w:t>
      </w:r>
      <w:r>
        <w:rPr>
          <w:rFonts w:hint="eastAsia" w:ascii="仿宋_GB2312"/>
          <w:sz w:val="32"/>
          <w:szCs w:val="32"/>
          <w:lang w:val="en-US" w:eastAsia="zh-CN"/>
        </w:rPr>
        <w:t>0530-5788013、5788018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</w:rPr>
        <w:t>联系邮箱：</w:t>
      </w:r>
      <w:r>
        <w:rPr>
          <w:rFonts w:hint="eastAsia" w:ascii="仿宋_GB2312"/>
          <w:sz w:val="32"/>
          <w:szCs w:val="32"/>
          <w:lang w:val="en-US" w:eastAsia="zh-CN"/>
        </w:rPr>
        <w:t>hzyjglrsk@163.com</w:t>
      </w:r>
    </w:p>
    <w:p>
      <w:pPr>
        <w:spacing w:line="600" w:lineRule="exact"/>
        <w:rPr>
          <w:rFonts w:ascii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_GB2312"/>
          <w:sz w:val="32"/>
          <w:szCs w:val="32"/>
        </w:rPr>
      </w:pPr>
    </w:p>
    <w:p>
      <w:pPr>
        <w:spacing w:line="600" w:lineRule="exact"/>
        <w:ind w:firstLine="5760" w:firstLineChars="18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菏泽市</w:t>
      </w:r>
      <w:r>
        <w:rPr>
          <w:rFonts w:hint="eastAsia" w:ascii="仿宋_GB2312"/>
          <w:sz w:val="32"/>
          <w:szCs w:val="32"/>
          <w:lang w:eastAsia="zh-CN"/>
        </w:rPr>
        <w:t>应急管理</w:t>
      </w:r>
      <w:r>
        <w:rPr>
          <w:rFonts w:hint="eastAsia" w:ascii="仿宋_GB2312"/>
          <w:sz w:val="32"/>
          <w:szCs w:val="32"/>
        </w:rPr>
        <w:t>局</w:t>
      </w:r>
    </w:p>
    <w:p>
      <w:pPr>
        <w:spacing w:line="600" w:lineRule="exact"/>
        <w:ind w:firstLine="6080" w:firstLineChars="19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2021年</w:t>
      </w:r>
      <w:r>
        <w:rPr>
          <w:rFonts w:hint="eastAsia" w:ascii="仿宋_GB2312"/>
          <w:sz w:val="32"/>
          <w:szCs w:val="32"/>
          <w:lang w:val="en-US" w:eastAsia="zh-CN"/>
        </w:rPr>
        <w:t>9</w:t>
      </w:r>
      <w:r>
        <w:rPr>
          <w:rFonts w:hint="eastAsia" w:ascii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1</w:t>
      </w:r>
      <w:r>
        <w:rPr>
          <w:rFonts w:hint="eastAsia" w:ascii="仿宋_GB2312"/>
          <w:sz w:val="32"/>
          <w:szCs w:val="32"/>
        </w:rPr>
        <w:t>日</w:t>
      </w:r>
    </w:p>
    <w:p>
      <w:pPr>
        <w:sectPr>
          <w:pgSz w:w="11906" w:h="16838"/>
          <w:pgMar w:top="1701" w:right="1587" w:bottom="1701" w:left="1531" w:header="851" w:footer="992" w:gutter="0"/>
          <w:cols w:space="0" w:num="1"/>
          <w:rtlGutter w:val="0"/>
          <w:docGrid w:type="lines" w:linePitch="49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黑体" w:eastAsia="方正小标宋简体" w:cs="方正大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方正大标宋简体"/>
          <w:sz w:val="44"/>
          <w:szCs w:val="44"/>
          <w:lang w:eastAsia="zh-CN"/>
        </w:rPr>
        <w:t>菏泽市应急管理保障和技术服务中心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黑体" w:eastAsia="方正小标宋简体" w:cs="方正大标宋简体"/>
          <w:sz w:val="44"/>
          <w:szCs w:val="44"/>
        </w:rPr>
      </w:pPr>
      <w:r>
        <w:rPr>
          <w:rFonts w:hint="eastAsia" w:ascii="方正小标宋简体" w:hAnsi="黑体" w:eastAsia="方正小标宋简体" w:cs="方正大标宋简体"/>
          <w:sz w:val="44"/>
          <w:szCs w:val="44"/>
        </w:rPr>
        <w:t>2021年度引进高层次急需紧缺人才基本信息一览表</w:t>
      </w:r>
    </w:p>
    <w:p>
      <w:pPr>
        <w:jc w:val="both"/>
        <w:rPr>
          <w:rFonts w:ascii="黑体" w:hAnsi="黑体" w:eastAsia="黑体" w:cs="黑体"/>
          <w:sz w:val="20"/>
          <w:szCs w:val="20"/>
        </w:rPr>
      </w:pPr>
      <w:bookmarkStart w:id="0" w:name="_GoBack"/>
      <w:bookmarkEnd w:id="0"/>
      <w:r>
        <w:rPr>
          <w:rFonts w:hint="eastAsia" w:ascii="黑体" w:hAnsi="黑体" w:eastAsia="黑体" w:cs="黑体"/>
          <w:sz w:val="20"/>
          <w:szCs w:val="20"/>
        </w:rPr>
        <w:t>单位：</w:t>
      </w:r>
      <w:r>
        <w:rPr>
          <w:rFonts w:hint="eastAsia" w:ascii="黑体" w:hAnsi="黑体" w:eastAsia="黑体" w:cs="黑体"/>
          <w:sz w:val="20"/>
          <w:szCs w:val="20"/>
          <w:lang w:eastAsia="zh-CN"/>
        </w:rPr>
        <w:t>菏泽市应急管理保障和技术服务中心</w:t>
      </w:r>
      <w:r>
        <w:rPr>
          <w:rFonts w:hint="eastAsia" w:ascii="黑体" w:hAnsi="黑体" w:eastAsia="黑体" w:cs="黑体"/>
          <w:sz w:val="20"/>
          <w:szCs w:val="20"/>
        </w:rPr>
        <w:t xml:space="preserve">                                                  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0"/>
          <w:szCs w:val="20"/>
        </w:rPr>
        <w:t xml:space="preserve">        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0"/>
          <w:szCs w:val="20"/>
        </w:rPr>
        <w:t xml:space="preserve">  时间：2021年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>9</w:t>
      </w:r>
      <w:r>
        <w:rPr>
          <w:rFonts w:hint="eastAsia" w:ascii="黑体" w:hAnsi="黑体" w:eastAsia="黑体" w:cs="黑体"/>
          <w:sz w:val="20"/>
          <w:szCs w:val="20"/>
        </w:rPr>
        <w:t>月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>1</w:t>
      </w:r>
      <w:r>
        <w:rPr>
          <w:rFonts w:hint="eastAsia" w:ascii="黑体" w:hAnsi="黑体" w:eastAsia="黑体" w:cs="黑体"/>
          <w:sz w:val="20"/>
          <w:szCs w:val="20"/>
        </w:rPr>
        <w:t>日</w:t>
      </w:r>
    </w:p>
    <w:tbl>
      <w:tblPr>
        <w:tblStyle w:val="5"/>
        <w:tblW w:w="15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43"/>
        <w:gridCol w:w="983"/>
        <w:gridCol w:w="1266"/>
        <w:gridCol w:w="709"/>
        <w:gridCol w:w="567"/>
        <w:gridCol w:w="567"/>
        <w:gridCol w:w="709"/>
        <w:gridCol w:w="992"/>
        <w:gridCol w:w="1134"/>
        <w:gridCol w:w="1985"/>
        <w:gridCol w:w="850"/>
        <w:gridCol w:w="851"/>
        <w:gridCol w:w="1700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主管单位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招聘事</w:t>
            </w:r>
          </w:p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业单位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应聘专业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性别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民族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年月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政治面貌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本科学历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研究生学历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毕业院校及专业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一流大学建设高校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一流学科建设高校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毕业院校及专业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一流大学建设高校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1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菏泽市</w:t>
            </w: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应急管理</w:t>
            </w:r>
            <w:r>
              <w:rPr>
                <w:rFonts w:hint="eastAsia" w:ascii="仿宋_GB2312" w:hAnsi="仿宋_GB2312" w:cs="仿宋_GB2312"/>
                <w:sz w:val="18"/>
                <w:szCs w:val="18"/>
              </w:rPr>
              <w:t>局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菏泽市应急管理保障和技术服务中心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auto"/>
              <w:rPr>
                <w:rFonts w:hint="eastAsia" w:ascii="仿宋_GB2312" w:hAnsi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</w:rPr>
              <w:t>本科阶段：法学类中的法学专业、新闻传播学类、中国语言文学类中的汉语言文学专业、秘书学专业。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auto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</w:rPr>
              <w:t>研究生阶段：中国语言文学一级学科的中国语言文学、中国现当代文学方向领域，新闻传播学一级学科、新闻与传播专业学位硕士、法学一级学科、法律专业学位硕士。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陈书琪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山东菏泽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cs="仿宋_GB2312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1996.02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中共党员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山东大学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行政管理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中央财经大学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法律（非法学）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菏泽市</w:t>
            </w: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应急管理</w:t>
            </w:r>
            <w:r>
              <w:rPr>
                <w:rFonts w:hint="eastAsia" w:ascii="仿宋_GB2312" w:hAnsi="仿宋_GB2312" w:cs="仿宋_GB2312"/>
                <w:sz w:val="18"/>
                <w:szCs w:val="18"/>
              </w:rPr>
              <w:t>局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菏泽市应急管理保障和技术服务中心</w:t>
            </w:r>
          </w:p>
        </w:tc>
        <w:tc>
          <w:tcPr>
            <w:tcW w:w="12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auto"/>
              <w:rPr>
                <w:rFonts w:hint="eastAsia" w:ascii="仿宋_GB2312" w:hAnsi="仿宋_GB2312" w:cs="仿宋_GB2312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赵卓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山东昌邑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1995.04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预备党员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潍坊学院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公共事业管理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西南大学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法律（非法学）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菏泽市</w:t>
            </w: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应急管理</w:t>
            </w:r>
            <w:r>
              <w:rPr>
                <w:rFonts w:hint="eastAsia" w:ascii="仿宋_GB2312" w:hAnsi="仿宋_GB2312" w:cs="仿宋_GB2312"/>
                <w:sz w:val="18"/>
                <w:szCs w:val="18"/>
              </w:rPr>
              <w:t>局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菏泽市应急管理保障和技术服务中心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auto"/>
              <w:rPr>
                <w:rFonts w:hint="eastAsia" w:ascii="仿宋_GB2312" w:hAnsi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</w:rPr>
              <w:t>本科阶段：电子信息类中的通讯工程专业、信息与通信工程专业。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auto"/>
              <w:rPr>
                <w:rFonts w:hint="eastAsia" w:ascii="仿宋_GB2312" w:hAnsi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</w:rPr>
              <w:t>研究生阶段：信息与通信工程一级学科、电子信息专业学位硕士。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车慧丽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山东菏泽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1991.03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群众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烟台大学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电子信息工程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宁波大学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电子与通信工程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是</w:t>
            </w:r>
          </w:p>
        </w:tc>
      </w:tr>
    </w:tbl>
    <w:p>
      <w:pPr>
        <w:pStyle w:val="2"/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422A"/>
    <w:rsid w:val="1E64422A"/>
    <w:rsid w:val="297A320C"/>
    <w:rsid w:val="32643DFE"/>
    <w:rsid w:val="7EE8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6"/>
      <w:szCs w:val="36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2021-08-31T05:14:00Z</dcterms:created>
  <dc:creator>一只袋鼠</dc:creator>
  <cp:lastModifiedBy>一只袋鼠</cp:lastModifiedBy>
  <cp:lastPrinted>2021-08-31T05:20:00Z</cp:lastPrinted>
  <dcterms:modified xsi:type="dcterms:W3CDTF">2021-08-31T10:16:42Z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318469451_cloud</vt:lpwstr>
  </property>
</Properties>
</file>