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51" w:tblpY="1098"/>
        <w:tblOverlap w:val="never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31"/>
        <w:gridCol w:w="1420"/>
        <w:gridCol w:w="1376"/>
        <w:gridCol w:w="1795"/>
        <w:gridCol w:w="1930"/>
        <w:gridCol w:w="268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  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计算机科学与技术、网络工程、信息安全等专业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工程管理、土木工程、水务工程等专业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具有生产建设项目水土保持方案编制、水土保持监测的相关工作经验3年以上者，年龄可适当放宽到40周岁以下，学历可放宽到全日制专科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2021年吕梁水务投资有限公司招聘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岗位表</w:t>
      </w:r>
    </w:p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23D5"/>
    <w:rsid w:val="1EA323D5"/>
    <w:rsid w:val="21807285"/>
    <w:rsid w:val="3C406A52"/>
    <w:rsid w:val="3DFE0538"/>
    <w:rsid w:val="4B973B77"/>
    <w:rsid w:val="525A74D7"/>
    <w:rsid w:val="6507672B"/>
    <w:rsid w:val="66612788"/>
    <w:rsid w:val="6C9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2021-08-17T08:24:00Z</dcterms:created>
  <dc:creator>水蓝幽梦</dc:creator>
  <cp:lastModifiedBy>水蓝幽梦</cp:lastModifiedBy>
  <cp:lastPrinted>2021-08-19T08:38:01Z</cp:lastPrinted>
  <dcterms:modified xsi:type="dcterms:W3CDTF">2021-08-19T08:39:18Z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