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cs="Times New Roman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</w:t>
      </w:r>
    </w:p>
    <w:p>
      <w:pPr>
        <w:rPr>
          <w:rFonts w:cs="Times New Roman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二、考生参加资格复审需满足“山西健康码”和“通信大数据行程卡”绿码，且体温检测低于</w:t>
      </w:r>
      <w:r>
        <w:rPr>
          <w:rFonts w:ascii="仿宋_GB2312" w:eastAsia="仿宋_GB2312" w:cs="仿宋_GB2312"/>
          <w:sz w:val="32"/>
          <w:szCs w:val="32"/>
        </w:rPr>
        <w:t>37.3</w:t>
      </w:r>
      <w:r>
        <w:rPr>
          <w:rFonts w:hint="eastAsia" w:ascii="仿宋_GB2312" w:eastAsia="仿宋_GB2312" w:cs="仿宋_GB2312"/>
          <w:sz w:val="32"/>
          <w:szCs w:val="32"/>
        </w:rPr>
        <w:t>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天及居家隔离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天后，须提供考前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四、省外入（返）晋中参加资格复审考生须提供</w:t>
      </w:r>
      <w:r>
        <w:rPr>
          <w:rFonts w:ascii="仿宋_GB2312" w:eastAsia="仿宋_GB2312" w:cs="仿宋_GB2312"/>
          <w:sz w:val="32"/>
          <w:szCs w:val="32"/>
        </w:rPr>
        <w:t>48</w:t>
      </w:r>
      <w:r>
        <w:rPr>
          <w:rFonts w:hint="eastAsia" w:ascii="仿宋_GB2312" w:eastAsia="仿宋_GB2312" w:cs="仿宋_GB2312"/>
          <w:sz w:val="32"/>
          <w:szCs w:val="32"/>
        </w:rPr>
        <w:t>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五、考生要做好个人防护，自备一次性使用医用口罩或医用外科口罩，除身份核验时按要求及时摘戴口罩外，其余时间要全程佩戴口罩。资格复审期间要保持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米以上安全距离。</w:t>
      </w:r>
    </w:p>
    <w:p>
      <w:pPr>
        <w:shd w:val="clear" w:color="auto" w:fill="FFFFFF"/>
        <w:spacing w:line="64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7990"/>
    <w:rsid w:val="35CA7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2021-08-16T02:22:00Z</dcterms:created>
  <dc:creator>深灰灰灰灰</dc:creator>
  <cp:lastModifiedBy>深灰灰灰灰</cp:lastModifiedBy>
  <dcterms:modified xsi:type="dcterms:W3CDTF">2021-08-16T02:24:56Z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271A0610A2C1413D81C0B823C2D579B1</vt:lpwstr>
  </property>
</Properties>
</file>