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178"/>
        <w:gridCol w:w="1196"/>
        <w:gridCol w:w="1431"/>
        <w:gridCol w:w="1071"/>
        <w:gridCol w:w="1966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9520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5"/>
                <w:lang w:val="en-US" w:eastAsia="zh-CN" w:bidi="ar"/>
              </w:rPr>
              <w:t xml:space="preserve">   目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5"/>
                <w:lang w:val="en-US" w:eastAsia="zh-CN" w:bidi="ar"/>
              </w:rPr>
              <w:t xml:space="preserve"> 地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5"/>
                <w:lang w:val="en-US" w:eastAsia="zh-CN" w:bidi="ar"/>
              </w:rPr>
              <w:t xml:space="preserve">   见</w:t>
            </w:r>
          </w:p>
        </w:tc>
        <w:tc>
          <w:tcPr>
            <w:tcW w:w="8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0" w:hRule="atLeast"/>
        </w:trPr>
        <w:tc>
          <w:tcPr>
            <w:tcW w:w="9520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2021-08-16T01:14:11Z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5932BC2A0E7C4D78A36BB362973D5EBD</vt:lpwstr>
  </property>
</Properties>
</file>