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附件</w:t>
      </w:r>
      <w:r>
        <w:rPr>
          <w:rFonts w:ascii="Times New Roman" w:hAnsi="Times New Roman" w:eastAsia="黑体"/>
          <w:sz w:val="32"/>
          <w:szCs w:val="32"/>
        </w:rPr>
        <w:t>1</w:t>
      </w:r>
    </w:p>
    <w:p>
      <w:pPr>
        <w:adjustRightInd w:val="0"/>
        <w:snapToGrid w:val="0"/>
        <w:spacing w:line="579" w:lineRule="exact"/>
        <w:rPr>
          <w:rFonts w:ascii="Times New Roman" w:hAnsi="Times New Roman" w:eastAsia="黑体"/>
          <w:sz w:val="32"/>
          <w:szCs w:val="32"/>
        </w:rPr>
      </w:pPr>
    </w:p>
    <w:p>
      <w:pPr>
        <w:adjustRightInd w:val="0"/>
        <w:snapToGrid w:val="0"/>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特殊专业人才放宽年龄报名条件和程序</w:t>
      </w:r>
    </w:p>
    <w:p>
      <w:pPr>
        <w:adjustRightInd w:val="0"/>
        <w:snapToGrid w:val="0"/>
        <w:spacing w:line="520" w:lineRule="exact"/>
        <w:rPr>
          <w:rFonts w:ascii="Times New Roman" w:hAnsi="Times New Roman"/>
          <w:sz w:val="32"/>
          <w:szCs w:val="32"/>
        </w:rPr>
      </w:pPr>
    </w:p>
    <w:p>
      <w:pPr>
        <w:adjustRightInd w:val="0"/>
        <w:snapToGrid w:val="0"/>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一、专业范围和遴选条件</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（一）原则上不超过</w:t>
      </w:r>
      <w:r>
        <w:rPr>
          <w:rFonts w:ascii="Times New Roman" w:hAnsi="Times New Roman" w:eastAsia="仿宋_GB2312"/>
          <w:sz w:val="32"/>
          <w:szCs w:val="32"/>
        </w:rPr>
        <w:t>28</w:t>
      </w:r>
      <w:r>
        <w:rPr>
          <w:rFonts w:hint="eastAsia" w:ascii="Times New Roman" w:hAnsi="Times New Roman" w:eastAsia="仿宋_GB2312"/>
          <w:sz w:val="32"/>
          <w:szCs w:val="32"/>
        </w:rPr>
        <w:t>周岁（</w:t>
      </w:r>
      <w:r>
        <w:rPr>
          <w:rFonts w:ascii="Times New Roman" w:hAnsi="Times New Roman" w:eastAsia="仿宋_GB2312"/>
          <w:sz w:val="32"/>
          <w:szCs w:val="32"/>
        </w:rPr>
        <w:t>1992</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日以后出生）；</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（二）相应专业操作岗位</w:t>
      </w:r>
      <w:r>
        <w:rPr>
          <w:rFonts w:ascii="Times New Roman" w:hAnsi="Times New Roman" w:eastAsia="仿宋_GB2312"/>
          <w:sz w:val="32"/>
          <w:szCs w:val="32"/>
        </w:rPr>
        <w:t>3</w:t>
      </w:r>
      <w:r>
        <w:rPr>
          <w:rFonts w:hint="eastAsia" w:ascii="Times New Roman" w:hAnsi="Times New Roman" w:eastAsia="仿宋_GB2312"/>
          <w:sz w:val="32"/>
          <w:szCs w:val="32"/>
        </w:rPr>
        <w:t>年以上工作经历；</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（三）取得国家、军队承认的高级以上等级职业技能资格或获得省部级以上科技成果奖励。</w:t>
      </w:r>
    </w:p>
    <w:p>
      <w:pPr>
        <w:adjustRightInd w:val="0"/>
        <w:snapToGrid w:val="0"/>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二、审批程序</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（一）个人申请</w:t>
      </w:r>
      <w:r>
        <w:rPr>
          <w:rFonts w:hint="eastAsia" w:ascii="Times New Roman" w:hAnsi="Times New Roman" w:eastAsia="仿宋_GB2312"/>
          <w:bCs/>
          <w:sz w:val="32"/>
          <w:szCs w:val="32"/>
        </w:rPr>
        <w:t>。</w:t>
      </w:r>
      <w:r>
        <w:rPr>
          <w:rFonts w:hint="eastAsia" w:ascii="Times New Roman" w:hAnsi="Times New Roman" w:eastAsia="仿宋_GB2312"/>
          <w:sz w:val="32"/>
          <w:szCs w:val="32"/>
        </w:rPr>
        <w:t>报名对象向省级消防员招录工作办公室提交书面申请，提供本人资格资质证书原件、工作经历等相关证明材料。</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（二）组织推荐。</w:t>
      </w:r>
      <w:r>
        <w:rPr>
          <w:rFonts w:hint="eastAsia" w:ascii="Times New Roman" w:hAnsi="Times New Roman" w:eastAsia="仿宋_GB2312"/>
          <w:sz w:val="32"/>
          <w:szCs w:val="32"/>
        </w:rPr>
        <w:t>省级消防员招录工作办公室组织资格审核、专业技能测试，公示无异议后报国家综合性消防救援队伍消防员招录工作办公室。</w:t>
      </w:r>
    </w:p>
    <w:p>
      <w:pPr>
        <w:adjustRightInd w:val="0"/>
        <w:snapToGrid w:val="0"/>
        <w:spacing w:line="520" w:lineRule="exact"/>
        <w:ind w:firstLine="640" w:firstLineChars="200"/>
        <w:rPr>
          <w:rFonts w:ascii="Times New Roman" w:hAnsi="Times New Roman" w:eastAsia="方正仿宋简体"/>
          <w:sz w:val="32"/>
          <w:szCs w:val="32"/>
        </w:rPr>
      </w:pPr>
      <w:r>
        <w:rPr>
          <w:rFonts w:hint="eastAsia" w:ascii="Times New Roman" w:hAnsi="Times New Roman" w:eastAsia="楷体_GB2312"/>
          <w:bCs/>
          <w:sz w:val="32"/>
          <w:szCs w:val="32"/>
        </w:rPr>
        <w:t>（三）审批报名。</w:t>
      </w:r>
      <w:r>
        <w:rPr>
          <w:rFonts w:hint="eastAsia" w:ascii="Times New Roman" w:hAnsi="Times New Roman" w:eastAsia="仿宋_GB2312"/>
          <w:sz w:val="32"/>
          <w:szCs w:val="32"/>
        </w:rPr>
        <w:t>应急管理部审批确定为特殊专业人才招录对象的，进行网上注册报名，参加后续体格检查、政治考核、体能和岗位适应性测试、心理测试和面试。</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（四）专项考核。</w:t>
      </w:r>
      <w:r>
        <w:rPr>
          <w:rFonts w:hint="eastAsia" w:ascii="Times New Roman" w:hAnsi="Times New Roman" w:eastAsia="仿宋_GB2312"/>
          <w:sz w:val="32"/>
          <w:szCs w:val="32"/>
        </w:rPr>
        <w:t>各项招录考核测试合格的，由消防救援局、森林消防局集中组织专项技能考核，不合格的不予招录。</w:t>
      </w:r>
    </w:p>
    <w:p>
      <w:pPr>
        <w:adjustRightInd w:val="0"/>
        <w:snapToGrid w:val="0"/>
        <w:spacing w:line="400" w:lineRule="exact"/>
        <w:jc w:val="left"/>
        <w:rPr>
          <w:rFonts w:hint="eastAsia" w:eastAsia="黑体"/>
          <w:sz w:val="32"/>
          <w:szCs w:val="32"/>
        </w:rPr>
      </w:pPr>
      <w:r>
        <w:rPr>
          <w:rFonts w:eastAsia="黑体"/>
          <w:sz w:val="32"/>
          <w:szCs w:val="32"/>
        </w:rPr>
        <w:t>附件</w:t>
      </w:r>
      <w:r>
        <w:rPr>
          <w:rFonts w:hint="eastAsia" w:eastAsia="黑体"/>
          <w:sz w:val="32"/>
          <w:szCs w:val="32"/>
        </w:rPr>
        <w:t>2</w:t>
      </w:r>
    </w:p>
    <w:p>
      <w:pPr>
        <w:adjustRightInd w:val="0"/>
        <w:snapToGrid w:val="0"/>
        <w:spacing w:line="400" w:lineRule="exact"/>
        <w:jc w:val="left"/>
        <w:rPr>
          <w:rFonts w:eastAsia="方正黑体_GBK"/>
          <w:sz w:val="32"/>
          <w:szCs w:val="32"/>
        </w:rPr>
      </w:pPr>
    </w:p>
    <w:p>
      <w:pPr>
        <w:adjustRightInd w:val="0"/>
        <w:snapToGrid w:val="0"/>
        <w:spacing w:line="600" w:lineRule="exact"/>
        <w:jc w:val="center"/>
        <w:rPr>
          <w:rFonts w:eastAsia="方正小标宋简体"/>
          <w:sz w:val="44"/>
          <w:szCs w:val="44"/>
        </w:rPr>
      </w:pPr>
      <w:r>
        <w:rPr>
          <w:rFonts w:hint="eastAsia" w:eastAsia="方正小标宋简体"/>
          <w:sz w:val="44"/>
          <w:szCs w:val="44"/>
        </w:rPr>
        <w:t>2</w:t>
      </w:r>
      <w:r>
        <w:rPr>
          <w:rFonts w:eastAsia="方正小标宋简体"/>
          <w:sz w:val="44"/>
          <w:szCs w:val="44"/>
        </w:rPr>
        <w:t>021</w:t>
      </w:r>
      <w:r>
        <w:rPr>
          <w:rFonts w:hint="eastAsia" w:eastAsia="方正小标宋简体"/>
          <w:sz w:val="44"/>
          <w:szCs w:val="44"/>
        </w:rPr>
        <w:t>年</w:t>
      </w:r>
      <w:r>
        <w:rPr>
          <w:rFonts w:eastAsia="方正小标宋简体"/>
          <w:sz w:val="44"/>
          <w:szCs w:val="44"/>
        </w:rPr>
        <w:t>消防员招录知情书</w:t>
      </w:r>
    </w:p>
    <w:p>
      <w:pPr>
        <w:adjustRightInd w:val="0"/>
        <w:snapToGrid w:val="0"/>
        <w:spacing w:line="400" w:lineRule="exact"/>
        <w:rPr>
          <w:rFonts w:eastAsia="方正仿宋简体"/>
          <w:sz w:val="24"/>
          <w:szCs w:val="24"/>
        </w:rPr>
      </w:pPr>
    </w:p>
    <w:p>
      <w:pPr>
        <w:adjustRightInd w:val="0"/>
        <w:snapToGrid w:val="0"/>
        <w:spacing w:line="420" w:lineRule="exact"/>
        <w:ind w:firstLine="480" w:firstLineChars="200"/>
        <w:rPr>
          <w:rFonts w:eastAsia="仿宋_GB2312"/>
          <w:sz w:val="24"/>
          <w:szCs w:val="24"/>
        </w:rPr>
      </w:pPr>
      <w:r>
        <w:rPr>
          <w:rFonts w:eastAsia="仿宋_GB2312"/>
          <w:sz w:val="24"/>
          <w:szCs w:val="24"/>
        </w:rPr>
        <w:t>国家综合性消防救援队伍由原公安消防部队、武警森林部队转制组建，有着光荣历史和优良传统，是一支救民于水火、助民于危难的队伍。习近平总书记亲自为国家综合性消防救援队伍授旗并致训词，亲自审定队旗、队徽、队服和誓词，明确提出“对党忠诚、纪律严明、赴汤蹈火、竭诚为民”建队方针，为队伍建设发展指明了方向。</w:t>
      </w:r>
    </w:p>
    <w:p>
      <w:pPr>
        <w:adjustRightInd w:val="0"/>
        <w:snapToGrid w:val="0"/>
        <w:spacing w:line="420" w:lineRule="exact"/>
        <w:ind w:firstLine="480" w:firstLineChars="200"/>
        <w:rPr>
          <w:rFonts w:eastAsia="仿宋_GB2312"/>
          <w:sz w:val="24"/>
          <w:szCs w:val="24"/>
        </w:rPr>
      </w:pPr>
      <w:r>
        <w:rPr>
          <w:rFonts w:eastAsia="仿宋_GB2312"/>
          <w:sz w:val="24"/>
          <w:szCs w:val="24"/>
        </w:rPr>
        <w:t>国家综合性消防救援队伍包括消防救援队伍和森林消防队伍，承担着防范化解重大安全风险、应对处置各类灾害事故的重大职责，是应急救援的主力军和国家队，按照纪律部队标准建设管理，实行24</w:t>
      </w:r>
      <w:r>
        <w:rPr>
          <w:rFonts w:hint="eastAsia" w:eastAsia="仿宋_GB2312"/>
          <w:sz w:val="24"/>
          <w:szCs w:val="24"/>
        </w:rPr>
        <w:t>小时驻勤备战。</w:t>
      </w:r>
      <w:r>
        <w:rPr>
          <w:rFonts w:eastAsia="仿宋_GB2312"/>
          <w:sz w:val="24"/>
          <w:szCs w:val="24"/>
        </w:rPr>
        <w:t>消防救援队伍在各省（自治区、直辖市）设消防救援总队，市（地、州、盟）和直辖市城区设消防救援支队，县（市、区、旗）设消防救援大队和若干消防救援站；森林消防队伍在内蒙古、吉林、黑龙江、福建、四川、云南、西藏、甘肃、新疆9省（自治区）设森林消防总队，总队下设支队、大队、中队；森林消防局下设大庆航空救援支队、昆明航空救援支队；森林消防局机动支队在北京、安徽、江西、湖北、湖南分设机动大队。</w:t>
      </w:r>
    </w:p>
    <w:p>
      <w:pPr>
        <w:adjustRightInd w:val="0"/>
        <w:snapToGrid w:val="0"/>
        <w:spacing w:line="420" w:lineRule="exact"/>
        <w:ind w:firstLine="480" w:firstLineChars="200"/>
        <w:rPr>
          <w:rFonts w:eastAsia="仿宋_GB2312"/>
          <w:sz w:val="24"/>
          <w:szCs w:val="24"/>
        </w:rPr>
      </w:pPr>
      <w:r>
        <w:rPr>
          <w:rFonts w:eastAsia="仿宋_GB2312"/>
          <w:sz w:val="24"/>
          <w:szCs w:val="24"/>
        </w:rPr>
        <w:t>国家综合性消防救援队伍在公安消防部队、武警森林部队转制后确定的行政编制总规模内，单列消防员专项编制，编制不具体到个人。经批准录用的消防员，训练考核合格后按《中华人民共和国消防救援衔条例》规定，授予相应消防救援衔，由录用的总队级单位在本省（自治区、直辖市）行政区域内统一分配。消防员实行全程退出机制，不适合继续从事消防救援工作，以及因其他原因经组织批准的，安排退出。其中工作不满12年、需要安排退出的按规定给予补助；工作满12年以上、不满退休年龄的由政府安排工作，根据本人意愿也可选择领取补助自主就业；达到退休条件的安排退休。新录用消防员工作5年（含入职训练期）内不得辞职，非正当原因擅自离职的，此后不得</w:t>
      </w:r>
      <w:r>
        <w:rPr>
          <w:rFonts w:hint="eastAsia" w:eastAsia="仿宋_GB2312"/>
          <w:sz w:val="24"/>
          <w:szCs w:val="24"/>
        </w:rPr>
        <w:t>再次</w:t>
      </w:r>
      <w:r>
        <w:rPr>
          <w:rFonts w:eastAsia="仿宋_GB2312"/>
          <w:sz w:val="24"/>
          <w:szCs w:val="24"/>
        </w:rPr>
        <w:t>参加</w:t>
      </w:r>
      <w:r>
        <w:rPr>
          <w:rFonts w:hint="eastAsia" w:eastAsia="仿宋_GB2312"/>
          <w:sz w:val="24"/>
          <w:szCs w:val="24"/>
        </w:rPr>
        <w:t>消防</w:t>
      </w:r>
      <w:r>
        <w:rPr>
          <w:rFonts w:eastAsia="仿宋_GB2312"/>
          <w:sz w:val="24"/>
          <w:szCs w:val="24"/>
        </w:rPr>
        <w:t>员招录，并记入</w:t>
      </w:r>
      <w:r>
        <w:rPr>
          <w:rFonts w:hint="eastAsia" w:eastAsia="仿宋_GB2312"/>
          <w:sz w:val="24"/>
          <w:szCs w:val="24"/>
        </w:rPr>
        <w:t>相关人员信用记录</w:t>
      </w:r>
      <w:r>
        <w:rPr>
          <w:rFonts w:eastAsia="仿宋_GB2312"/>
          <w:sz w:val="24"/>
          <w:szCs w:val="24"/>
        </w:rPr>
        <w:t>。入职训练期间非正当原因擅自离职的，须退还个人工资，补缴体格检查复检费、训练伙食费</w:t>
      </w:r>
      <w:r>
        <w:rPr>
          <w:rFonts w:hint="eastAsia" w:eastAsia="仿宋_GB2312"/>
          <w:sz w:val="24"/>
          <w:szCs w:val="24"/>
        </w:rPr>
        <w:t>等</w:t>
      </w:r>
      <w:r>
        <w:rPr>
          <w:rFonts w:eastAsia="仿宋_GB2312"/>
          <w:sz w:val="24"/>
          <w:szCs w:val="24"/>
        </w:rPr>
        <w:t>。</w:t>
      </w:r>
    </w:p>
    <w:p>
      <w:pPr>
        <w:adjustRightInd w:val="0"/>
        <w:snapToGrid w:val="0"/>
        <w:spacing w:line="420" w:lineRule="exact"/>
        <w:ind w:firstLine="480" w:firstLineChars="200"/>
        <w:rPr>
          <w:rFonts w:eastAsia="仿宋_GB2312"/>
          <w:sz w:val="24"/>
          <w:szCs w:val="24"/>
        </w:rPr>
      </w:pPr>
      <w:r>
        <w:rPr>
          <w:rFonts w:eastAsia="黑体"/>
          <w:sz w:val="24"/>
          <w:szCs w:val="24"/>
          <w:lang w:eastAsia="zh-Hans"/>
        </w:rPr>
        <w:t>本人已认真阅读《</w:t>
      </w:r>
      <w:r>
        <w:rPr>
          <w:rFonts w:eastAsia="黑体"/>
          <w:sz w:val="24"/>
          <w:szCs w:val="24"/>
        </w:rPr>
        <w:t>2021年</w:t>
      </w:r>
      <w:r>
        <w:rPr>
          <w:rFonts w:eastAsia="黑体"/>
          <w:sz w:val="24"/>
          <w:szCs w:val="24"/>
          <w:lang w:eastAsia="zh-Hans"/>
        </w:rPr>
        <w:t>消防员招录知情书》，知悉国家综合性消防救援队伍职责任务、消防员编制和退出机制，接受驻勤备战、日常管理、教育训练、统一分配模式以及非正</w:t>
      </w:r>
      <w:r>
        <w:rPr>
          <w:rFonts w:hint="eastAsia" w:eastAsia="黑体"/>
          <w:sz w:val="24"/>
          <w:szCs w:val="24"/>
          <w:lang w:eastAsia="zh-Hans"/>
        </w:rPr>
        <w:t>当</w:t>
      </w:r>
      <w:r>
        <w:rPr>
          <w:rFonts w:eastAsia="黑体"/>
          <w:sz w:val="24"/>
          <w:szCs w:val="24"/>
          <w:lang w:eastAsia="zh-Hans"/>
        </w:rPr>
        <w:t>原因退出惩戒办法，志愿报名参加此次消防员招录。</w:t>
      </w:r>
    </w:p>
    <w:p>
      <w:pPr>
        <w:sectPr>
          <w:pgSz w:w="11906" w:h="16838"/>
          <w:pgMar w:top="2041" w:right="1474" w:bottom="1588" w:left="1474" w:header="851" w:footer="992" w:gutter="0"/>
          <w:cols w:space="425" w:num="1"/>
          <w:docGrid w:type="lines" w:linePitch="312" w:charSpace="0"/>
        </w:sectPr>
      </w:pPr>
    </w:p>
    <w:p>
      <w:pPr>
        <w:widowControl/>
        <w:spacing w:line="460" w:lineRule="exact"/>
        <w:jc w:val="left"/>
        <w:rPr>
          <w:rFonts w:eastAsia="黑体"/>
          <w:kern w:val="0"/>
          <w:sz w:val="32"/>
          <w:szCs w:val="32"/>
        </w:rPr>
      </w:pPr>
      <w:r>
        <w:rPr>
          <w:rFonts w:eastAsia="黑体"/>
          <w:kern w:val="0"/>
          <w:sz w:val="32"/>
          <w:szCs w:val="32"/>
        </w:rPr>
        <w:t>附件3</w:t>
      </w:r>
    </w:p>
    <w:p>
      <w:pPr>
        <w:widowControl/>
        <w:spacing w:line="460" w:lineRule="exact"/>
        <w:jc w:val="left"/>
        <w:rPr>
          <w:rFonts w:eastAsia="黑体"/>
          <w:kern w:val="0"/>
          <w:sz w:val="32"/>
          <w:szCs w:val="32"/>
        </w:rPr>
      </w:pPr>
    </w:p>
    <w:p>
      <w:pPr>
        <w:widowControl/>
        <w:spacing w:line="460" w:lineRule="exact"/>
        <w:jc w:val="center"/>
        <w:rPr>
          <w:rFonts w:eastAsia="方正小标宋简体"/>
          <w:kern w:val="0"/>
          <w:sz w:val="44"/>
          <w:szCs w:val="44"/>
        </w:rPr>
      </w:pPr>
      <w:r>
        <w:rPr>
          <w:rFonts w:eastAsia="方正小标宋简体"/>
          <w:kern w:val="0"/>
          <w:sz w:val="44"/>
          <w:szCs w:val="44"/>
        </w:rPr>
        <w:t>国家综合性消防救援队伍消防员招录</w:t>
      </w:r>
    </w:p>
    <w:p>
      <w:pPr>
        <w:widowControl/>
        <w:spacing w:line="460" w:lineRule="exact"/>
        <w:jc w:val="center"/>
        <w:rPr>
          <w:rFonts w:eastAsia="方正小标宋简体"/>
          <w:kern w:val="0"/>
          <w:sz w:val="44"/>
          <w:szCs w:val="44"/>
        </w:rPr>
      </w:pPr>
      <w:r>
        <w:rPr>
          <w:rFonts w:eastAsia="方正小标宋简体"/>
          <w:kern w:val="0"/>
          <w:sz w:val="44"/>
          <w:szCs w:val="44"/>
        </w:rPr>
        <w:t>体能测试、岗位适应性测试项目及标准</w:t>
      </w:r>
    </w:p>
    <w:p>
      <w:pPr>
        <w:widowControl/>
        <w:spacing w:line="460" w:lineRule="exact"/>
        <w:jc w:val="center"/>
        <w:rPr>
          <w:rFonts w:eastAsia="楷体_GB2312"/>
          <w:kern w:val="0"/>
          <w:sz w:val="32"/>
          <w:szCs w:val="32"/>
        </w:rPr>
      </w:pPr>
      <w:r>
        <w:rPr>
          <w:rFonts w:eastAsia="楷体_GB2312"/>
          <w:kern w:val="0"/>
          <w:sz w:val="32"/>
          <w:szCs w:val="32"/>
        </w:rPr>
        <w:t>（2021年）</w:t>
      </w:r>
    </w:p>
    <w:p>
      <w:pPr>
        <w:widowControl/>
        <w:spacing w:line="460" w:lineRule="exact"/>
        <w:jc w:val="center"/>
        <w:rPr>
          <w:rFonts w:eastAsia="方正小标宋简体"/>
          <w:kern w:val="0"/>
          <w:sz w:val="44"/>
          <w:szCs w:val="44"/>
        </w:rPr>
      </w:pPr>
    </w:p>
    <w:tbl>
      <w:tblPr>
        <w:tblStyle w:val="6"/>
        <w:tblW w:w="985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5"/>
        <w:gridCol w:w="6"/>
        <w:gridCol w:w="716"/>
        <w:gridCol w:w="62"/>
        <w:gridCol w:w="660"/>
        <w:gridCol w:w="49"/>
        <w:gridCol w:w="674"/>
        <w:gridCol w:w="34"/>
        <w:gridCol w:w="689"/>
        <w:gridCol w:w="20"/>
        <w:gridCol w:w="703"/>
        <w:gridCol w:w="6"/>
        <w:gridCol w:w="709"/>
        <w:gridCol w:w="8"/>
        <w:gridCol w:w="700"/>
        <w:gridCol w:w="23"/>
        <w:gridCol w:w="686"/>
        <w:gridCol w:w="37"/>
        <w:gridCol w:w="672"/>
        <w:gridCol w:w="51"/>
        <w:gridCol w:w="830"/>
        <w:gridCol w:w="39"/>
        <w:gridCol w:w="732"/>
        <w:gridCol w:w="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8" w:hRule="atLeast"/>
          <w:jc w:val="center"/>
        </w:trPr>
        <w:tc>
          <w:tcPr>
            <w:tcW w:w="1711" w:type="dxa"/>
            <w:gridSpan w:val="2"/>
            <w:vMerge w:val="restart"/>
            <w:vAlign w:val="center"/>
          </w:tcPr>
          <w:p>
            <w:pPr>
              <w:adjustRightInd w:val="0"/>
              <w:snapToGrid w:val="0"/>
              <w:jc w:val="center"/>
              <w:rPr>
                <w:rFonts w:eastAsia="黑体"/>
                <w:szCs w:val="21"/>
              </w:rPr>
            </w:pPr>
            <w:r>
              <w:rPr>
                <w:rFonts w:eastAsia="黑体"/>
                <w:szCs w:val="21"/>
              </w:rPr>
              <w:t>项    目</w:t>
            </w:r>
          </w:p>
        </w:tc>
        <w:tc>
          <w:tcPr>
            <w:tcW w:w="7368" w:type="dxa"/>
            <w:gridSpan w:val="20"/>
            <w:tcBorders>
              <w:top w:val="single" w:color="auto" w:sz="12" w:space="0"/>
              <w:bottom w:val="single" w:color="auto" w:sz="4" w:space="0"/>
              <w:right w:val="single" w:color="auto" w:sz="4" w:space="0"/>
            </w:tcBorders>
            <w:vAlign w:val="center"/>
          </w:tcPr>
          <w:p>
            <w:pPr>
              <w:adjustRightInd w:val="0"/>
              <w:snapToGrid w:val="0"/>
              <w:spacing w:line="240" w:lineRule="exact"/>
              <w:jc w:val="center"/>
              <w:textAlignment w:val="center"/>
              <w:rPr>
                <w:rFonts w:eastAsia="仿宋_GB2312"/>
                <w:szCs w:val="21"/>
              </w:rPr>
            </w:pPr>
            <w:r>
              <w:rPr>
                <w:rFonts w:eastAsia="黑体"/>
                <w:kern w:val="0"/>
                <w:sz w:val="22"/>
                <w:szCs w:val="22"/>
              </w:rPr>
              <w:t>体能测试成绩对应分值、测试办法</w:t>
            </w:r>
          </w:p>
        </w:tc>
        <w:tc>
          <w:tcPr>
            <w:tcW w:w="771" w:type="dxa"/>
            <w:gridSpan w:val="2"/>
            <w:vMerge w:val="restart"/>
            <w:tcBorders>
              <w:left w:val="single" w:color="auto" w:sz="4" w:space="0"/>
              <w:right w:val="single" w:color="auto" w:sz="12" w:space="0"/>
            </w:tcBorders>
            <w:vAlign w:val="center"/>
          </w:tcPr>
          <w:p>
            <w:pPr>
              <w:widowControl/>
              <w:adjustRightInd w:val="0"/>
              <w:snapToGrid w:val="0"/>
              <w:jc w:val="center"/>
              <w:rPr>
                <w:rFonts w:eastAsia="仿宋_GB2312"/>
                <w:szCs w:val="21"/>
              </w:rPr>
            </w:pPr>
            <w:r>
              <w:rPr>
                <w:rFonts w:eastAsia="黑体"/>
                <w:kern w:val="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6" w:hRule="atLeast"/>
          <w:jc w:val="center"/>
        </w:trPr>
        <w:tc>
          <w:tcPr>
            <w:tcW w:w="1711" w:type="dxa"/>
            <w:gridSpan w:val="2"/>
            <w:vMerge w:val="continue"/>
            <w:tcBorders>
              <w:bottom w:val="single" w:color="auto" w:sz="4" w:space="0"/>
            </w:tcBorders>
            <w:vAlign w:val="center"/>
          </w:tcPr>
          <w:p>
            <w:pPr>
              <w:adjustRightInd w:val="0"/>
              <w:snapToGrid w:val="0"/>
              <w:jc w:val="center"/>
              <w:rPr>
                <w:rFonts w:eastAsia="黑体"/>
                <w:szCs w:val="21"/>
              </w:rPr>
            </w:pPr>
          </w:p>
        </w:tc>
        <w:tc>
          <w:tcPr>
            <w:tcW w:w="778" w:type="dxa"/>
            <w:gridSpan w:val="2"/>
            <w:tcBorders>
              <w:top w:val="single" w:color="auto" w:sz="4" w:space="0"/>
              <w:bottom w:val="single" w:color="auto" w:sz="4" w:space="0"/>
              <w:right w:val="single" w:color="auto" w:sz="4" w:space="0"/>
            </w:tcBorders>
            <w:vAlign w:val="center"/>
          </w:tcPr>
          <w:p>
            <w:pPr>
              <w:widowControl/>
              <w:adjustRightInd w:val="0"/>
              <w:snapToGrid w:val="0"/>
              <w:jc w:val="center"/>
              <w:rPr>
                <w:rFonts w:eastAsia="楷体_GB2312"/>
                <w:kern w:val="0"/>
                <w:sz w:val="22"/>
                <w:szCs w:val="22"/>
              </w:rPr>
            </w:pPr>
            <w:r>
              <w:rPr>
                <w:rFonts w:eastAsia="楷体_GB2312"/>
                <w:kern w:val="0"/>
                <w:sz w:val="22"/>
                <w:szCs w:val="22"/>
              </w:rPr>
              <w:t>1分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楷体_GB2312"/>
                <w:kern w:val="0"/>
                <w:sz w:val="22"/>
                <w:szCs w:val="22"/>
              </w:rPr>
            </w:pPr>
            <w:r>
              <w:rPr>
                <w:rFonts w:eastAsia="楷体_GB2312"/>
                <w:kern w:val="0"/>
                <w:sz w:val="22"/>
                <w:szCs w:val="22"/>
              </w:rPr>
              <w:t>2分</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楷体_GB2312"/>
                <w:kern w:val="0"/>
                <w:sz w:val="22"/>
                <w:szCs w:val="22"/>
              </w:rPr>
            </w:pPr>
            <w:r>
              <w:rPr>
                <w:rFonts w:eastAsia="楷体_GB2312"/>
                <w:kern w:val="0"/>
                <w:sz w:val="22"/>
                <w:szCs w:val="22"/>
              </w:rPr>
              <w:t>3分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楷体_GB2312"/>
                <w:kern w:val="0"/>
                <w:sz w:val="22"/>
                <w:szCs w:val="22"/>
              </w:rPr>
            </w:pPr>
            <w:r>
              <w:rPr>
                <w:rFonts w:eastAsia="楷体_GB2312"/>
                <w:kern w:val="0"/>
                <w:sz w:val="22"/>
                <w:szCs w:val="22"/>
              </w:rPr>
              <w:t>4分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楷体_GB2312"/>
                <w:kern w:val="0"/>
                <w:sz w:val="22"/>
                <w:szCs w:val="22"/>
              </w:rPr>
            </w:pPr>
            <w:r>
              <w:rPr>
                <w:rFonts w:eastAsia="楷体_GB2312"/>
                <w:kern w:val="0"/>
                <w:sz w:val="22"/>
                <w:szCs w:val="22"/>
              </w:rPr>
              <w:t>5分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楷体_GB2312"/>
                <w:kern w:val="0"/>
                <w:sz w:val="22"/>
                <w:szCs w:val="22"/>
              </w:rPr>
            </w:pPr>
            <w:r>
              <w:rPr>
                <w:rFonts w:eastAsia="楷体_GB2312"/>
                <w:kern w:val="0"/>
                <w:sz w:val="22"/>
                <w:szCs w:val="22"/>
              </w:rPr>
              <w:t>6分</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楷体_GB2312"/>
                <w:kern w:val="0"/>
                <w:sz w:val="22"/>
                <w:szCs w:val="22"/>
              </w:rPr>
            </w:pPr>
            <w:r>
              <w:rPr>
                <w:rFonts w:eastAsia="楷体_GB2312"/>
                <w:kern w:val="0"/>
                <w:sz w:val="22"/>
                <w:szCs w:val="22"/>
              </w:rPr>
              <w:t>7分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楷体_GB2312"/>
                <w:kern w:val="0"/>
                <w:sz w:val="22"/>
                <w:szCs w:val="22"/>
              </w:rPr>
            </w:pPr>
            <w:r>
              <w:rPr>
                <w:rFonts w:eastAsia="楷体_GB2312"/>
                <w:kern w:val="0"/>
                <w:sz w:val="22"/>
                <w:szCs w:val="22"/>
              </w:rPr>
              <w:t>8分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楷体_GB2312"/>
                <w:kern w:val="0"/>
                <w:sz w:val="22"/>
                <w:szCs w:val="22"/>
              </w:rPr>
            </w:pPr>
            <w:r>
              <w:rPr>
                <w:rFonts w:eastAsia="楷体_GB2312"/>
                <w:kern w:val="0"/>
                <w:sz w:val="22"/>
                <w:szCs w:val="22"/>
              </w:rPr>
              <w:t>9分</w:t>
            </w:r>
          </w:p>
        </w:tc>
        <w:tc>
          <w:tcPr>
            <w:tcW w:w="92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楷体_GB2312"/>
                <w:spacing w:val="-10"/>
                <w:kern w:val="0"/>
                <w:sz w:val="22"/>
                <w:szCs w:val="22"/>
              </w:rPr>
            </w:pPr>
            <w:r>
              <w:rPr>
                <w:rFonts w:eastAsia="楷体_GB2312"/>
                <w:spacing w:val="-10"/>
                <w:kern w:val="0"/>
                <w:sz w:val="22"/>
                <w:szCs w:val="22"/>
              </w:rPr>
              <w:t>10分</w:t>
            </w:r>
          </w:p>
        </w:tc>
        <w:tc>
          <w:tcPr>
            <w:tcW w:w="771" w:type="dxa"/>
            <w:gridSpan w:val="2"/>
            <w:vMerge w:val="continue"/>
            <w:tcBorders>
              <w:left w:val="single" w:color="auto" w:sz="4" w:space="0"/>
              <w:right w:val="single" w:color="auto" w:sz="12" w:space="0"/>
            </w:tcBorders>
            <w:vAlign w:val="center"/>
          </w:tcPr>
          <w:p>
            <w:pPr>
              <w:widowControl/>
              <w:jc w:val="lef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6" w:hRule="atLeast"/>
          <w:jc w:val="center"/>
        </w:trPr>
        <w:tc>
          <w:tcPr>
            <w:tcW w:w="1711" w:type="dxa"/>
            <w:gridSpan w:val="2"/>
            <w:vMerge w:val="restart"/>
            <w:vAlign w:val="center"/>
          </w:tcPr>
          <w:p>
            <w:pPr>
              <w:adjustRightInd w:val="0"/>
              <w:snapToGrid w:val="0"/>
              <w:jc w:val="center"/>
              <w:rPr>
                <w:rFonts w:eastAsia="黑体"/>
                <w:szCs w:val="21"/>
              </w:rPr>
            </w:pPr>
            <w:r>
              <w:rPr>
                <w:rFonts w:eastAsia="黑体"/>
                <w:szCs w:val="21"/>
              </w:rPr>
              <w:t>1000米跑</w:t>
            </w:r>
          </w:p>
          <w:p>
            <w:pPr>
              <w:adjustRightInd w:val="0"/>
              <w:snapToGrid w:val="0"/>
              <w:jc w:val="center"/>
              <w:rPr>
                <w:rFonts w:eastAsia="黑体"/>
                <w:szCs w:val="21"/>
              </w:rPr>
            </w:pPr>
            <w:r>
              <w:rPr>
                <w:rFonts w:eastAsia="黑体"/>
                <w:szCs w:val="21"/>
              </w:rPr>
              <w:t>（分、秒）</w:t>
            </w:r>
          </w:p>
        </w:tc>
        <w:tc>
          <w:tcPr>
            <w:tcW w:w="778" w:type="dxa"/>
            <w:gridSpan w:val="2"/>
            <w:tcBorders>
              <w:top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szCs w:val="21"/>
              </w:rPr>
              <w:t>4′35″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szCs w:val="21"/>
              </w:rPr>
            </w:pPr>
            <w:r>
              <w:rPr>
                <w:szCs w:val="21"/>
              </w:rPr>
              <w:t>4′20″</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szCs w:val="21"/>
              </w:rPr>
            </w:pPr>
            <w:r>
              <w:rPr>
                <w:szCs w:val="21"/>
              </w:rPr>
              <w:t>4′15″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szCs w:val="21"/>
              </w:rPr>
              <w:t>4′10″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szCs w:val="21"/>
              </w:rPr>
            </w:pPr>
            <w:r>
              <w:rPr>
                <w:szCs w:val="21"/>
              </w:rPr>
              <w:t>4′05″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szCs w:val="21"/>
              </w:rPr>
              <w:t>4′00″</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szCs w:val="21"/>
              </w:rPr>
              <w:t>3′55″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szCs w:val="21"/>
              </w:rPr>
              <w:t>3′50″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szCs w:val="21"/>
              </w:rPr>
              <w:t>3′45″</w:t>
            </w:r>
          </w:p>
        </w:tc>
        <w:tc>
          <w:tcPr>
            <w:tcW w:w="92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szCs w:val="21"/>
              </w:rPr>
              <w:t>3′40″</w:t>
            </w:r>
          </w:p>
        </w:tc>
        <w:tc>
          <w:tcPr>
            <w:tcW w:w="771" w:type="dxa"/>
            <w:gridSpan w:val="2"/>
            <w:vMerge w:val="restart"/>
            <w:tcBorders>
              <w:left w:val="single" w:color="auto" w:sz="4" w:space="0"/>
              <w:right w:val="single" w:color="auto" w:sz="12" w:space="0"/>
            </w:tcBorders>
            <w:vAlign w:val="center"/>
          </w:tcPr>
          <w:p>
            <w:pPr>
              <w:widowControl/>
              <w:adjustRightInd w:val="0"/>
              <w:snapToGrid w:val="0"/>
              <w:jc w:val="center"/>
              <w:rPr>
                <w:kern w:val="0"/>
                <w:szCs w:val="21"/>
              </w:rPr>
            </w:pPr>
            <w:r>
              <w:rPr>
                <w:rFonts w:eastAsia="仿宋_GB2312"/>
                <w:szCs w:val="21"/>
              </w:rPr>
              <w:t>必考项目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59" w:hRule="atLeast"/>
          <w:jc w:val="center"/>
        </w:trPr>
        <w:tc>
          <w:tcPr>
            <w:tcW w:w="1711" w:type="dxa"/>
            <w:gridSpan w:val="2"/>
            <w:vMerge w:val="continue"/>
            <w:vAlign w:val="center"/>
          </w:tcPr>
          <w:p>
            <w:pPr>
              <w:adjustRightInd w:val="0"/>
              <w:snapToGrid w:val="0"/>
              <w:jc w:val="center"/>
              <w:rPr>
                <w:rFonts w:eastAsia="黑体"/>
                <w:szCs w:val="21"/>
              </w:rPr>
            </w:pPr>
          </w:p>
        </w:tc>
        <w:tc>
          <w:tcPr>
            <w:tcW w:w="7368" w:type="dxa"/>
            <w:gridSpan w:val="20"/>
            <w:tcBorders>
              <w:top w:val="single" w:color="auto" w:sz="4" w:space="0"/>
              <w:bottom w:val="single" w:color="auto" w:sz="4" w:space="0"/>
              <w:right w:val="single" w:color="auto" w:sz="4" w:space="0"/>
            </w:tcBorders>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2.在跑道或平地上标出起点线，考生从起点线处听到起跑口令后起跑，完成1000米距离到达终点线，记录时间。</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3.考核以完成时间计算成绩。</w:t>
            </w:r>
          </w:p>
          <w:p>
            <w:pPr>
              <w:adjustRightInd w:val="0"/>
              <w:snapToGrid w:val="0"/>
              <w:ind w:firstLine="420" w:firstLineChars="200"/>
              <w:textAlignment w:val="center"/>
              <w:rPr>
                <w:rFonts w:eastAsia="仿宋_GB2312"/>
                <w:szCs w:val="21"/>
              </w:rPr>
            </w:pPr>
            <w:r>
              <w:rPr>
                <w:rFonts w:eastAsia="仿宋_GB2312"/>
                <w:szCs w:val="21"/>
              </w:rPr>
              <w:t>4.得分超出10分的，每递减5秒增加1分，最高15分。</w:t>
            </w:r>
          </w:p>
          <w:p>
            <w:pPr>
              <w:widowControl/>
              <w:adjustRightInd w:val="0"/>
              <w:snapToGrid w:val="0"/>
              <w:ind w:firstLine="420" w:firstLineChars="200"/>
              <w:rPr>
                <w:szCs w:val="21"/>
              </w:rPr>
            </w:pPr>
            <w:r>
              <w:rPr>
                <w:rFonts w:eastAsia="仿宋_GB2312"/>
                <w:szCs w:val="21"/>
              </w:rPr>
              <w:t>5.海拔2100-3000米，每增加100米高度标准递增3秒，3100-4000米，每增加100米高度标准递增4秒。</w:t>
            </w:r>
          </w:p>
        </w:tc>
        <w:tc>
          <w:tcPr>
            <w:tcW w:w="771" w:type="dxa"/>
            <w:gridSpan w:val="2"/>
            <w:vMerge w:val="continue"/>
            <w:tcBorders>
              <w:left w:val="single" w:color="auto" w:sz="4" w:space="0"/>
              <w:right w:val="single" w:color="auto" w:sz="12" w:space="0"/>
            </w:tcBorders>
            <w:vAlign w:val="center"/>
          </w:tcPr>
          <w:p>
            <w:pPr>
              <w:widowControl/>
              <w:adjustRightInd w:val="0"/>
              <w:snapToGrid w:val="0"/>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6" w:hRule="atLeast"/>
          <w:jc w:val="center"/>
        </w:trPr>
        <w:tc>
          <w:tcPr>
            <w:tcW w:w="1711" w:type="dxa"/>
            <w:gridSpan w:val="2"/>
            <w:vMerge w:val="restart"/>
            <w:vAlign w:val="center"/>
          </w:tcPr>
          <w:p>
            <w:pPr>
              <w:widowControl/>
              <w:adjustRightInd w:val="0"/>
              <w:snapToGrid w:val="0"/>
              <w:jc w:val="center"/>
              <w:rPr>
                <w:rFonts w:eastAsia="黑体"/>
                <w:szCs w:val="21"/>
              </w:rPr>
            </w:pPr>
            <w:r>
              <w:rPr>
                <w:rFonts w:eastAsia="黑体"/>
                <w:szCs w:val="21"/>
              </w:rPr>
              <w:t>原地跳高</w:t>
            </w:r>
          </w:p>
          <w:p>
            <w:pPr>
              <w:widowControl/>
              <w:adjustRightInd w:val="0"/>
              <w:snapToGrid w:val="0"/>
              <w:jc w:val="center"/>
              <w:rPr>
                <w:kern w:val="0"/>
                <w:szCs w:val="21"/>
              </w:rPr>
            </w:pPr>
            <w:r>
              <w:rPr>
                <w:rFonts w:eastAsia="黑体"/>
                <w:szCs w:val="21"/>
              </w:rPr>
              <w:t>（厘米）</w:t>
            </w:r>
          </w:p>
        </w:tc>
        <w:tc>
          <w:tcPr>
            <w:tcW w:w="778" w:type="dxa"/>
            <w:gridSpan w:val="2"/>
            <w:tcBorders>
              <w:top w:val="single" w:color="auto" w:sz="4" w:space="0"/>
              <w:right w:val="single" w:color="auto" w:sz="4" w:space="0"/>
            </w:tcBorders>
            <w:vAlign w:val="center"/>
          </w:tcPr>
          <w:p>
            <w:pPr>
              <w:widowControl/>
              <w:adjustRightInd w:val="0"/>
              <w:snapToGrid w:val="0"/>
              <w:jc w:val="center"/>
              <w:rPr>
                <w:kern w:val="0"/>
                <w:szCs w:val="21"/>
              </w:rPr>
            </w:pPr>
            <w:r>
              <w:rPr>
                <w:szCs w:val="21"/>
              </w:rPr>
              <w:t>40</w:t>
            </w:r>
          </w:p>
        </w:tc>
        <w:tc>
          <w:tcPr>
            <w:tcW w:w="709" w:type="dxa"/>
            <w:gridSpan w:val="2"/>
            <w:tcBorders>
              <w:top w:val="single" w:color="auto" w:sz="4" w:space="0"/>
              <w:left w:val="single" w:color="auto" w:sz="4" w:space="0"/>
              <w:right w:val="single" w:color="auto" w:sz="4" w:space="0"/>
            </w:tcBorders>
            <w:vAlign w:val="center"/>
          </w:tcPr>
          <w:p>
            <w:pPr>
              <w:widowControl/>
              <w:adjustRightInd w:val="0"/>
              <w:snapToGrid w:val="0"/>
              <w:jc w:val="center"/>
              <w:rPr>
                <w:kern w:val="0"/>
                <w:szCs w:val="21"/>
              </w:rPr>
            </w:pPr>
            <w:r>
              <w:rPr>
                <w:szCs w:val="21"/>
              </w:rPr>
              <w:t>47</w:t>
            </w:r>
          </w:p>
        </w:tc>
        <w:tc>
          <w:tcPr>
            <w:tcW w:w="708"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50</w:t>
            </w:r>
          </w:p>
        </w:tc>
        <w:tc>
          <w:tcPr>
            <w:tcW w:w="709"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53</w:t>
            </w:r>
          </w:p>
        </w:tc>
        <w:tc>
          <w:tcPr>
            <w:tcW w:w="709"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55</w:t>
            </w:r>
          </w:p>
        </w:tc>
        <w:tc>
          <w:tcPr>
            <w:tcW w:w="709" w:type="dxa"/>
            <w:tcBorders>
              <w:left w:val="single" w:color="auto" w:sz="4" w:space="0"/>
              <w:right w:val="single" w:color="auto" w:sz="4" w:space="0"/>
            </w:tcBorders>
            <w:vAlign w:val="center"/>
          </w:tcPr>
          <w:p>
            <w:pPr>
              <w:widowControl/>
              <w:adjustRightInd w:val="0"/>
              <w:snapToGrid w:val="0"/>
              <w:jc w:val="center"/>
              <w:rPr>
                <w:kern w:val="0"/>
                <w:szCs w:val="21"/>
              </w:rPr>
            </w:pPr>
            <w:r>
              <w:rPr>
                <w:szCs w:val="21"/>
              </w:rPr>
              <w:t>57</w:t>
            </w:r>
          </w:p>
        </w:tc>
        <w:tc>
          <w:tcPr>
            <w:tcW w:w="708"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60</w:t>
            </w:r>
          </w:p>
        </w:tc>
        <w:tc>
          <w:tcPr>
            <w:tcW w:w="709"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63</w:t>
            </w:r>
          </w:p>
        </w:tc>
        <w:tc>
          <w:tcPr>
            <w:tcW w:w="709"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65</w:t>
            </w:r>
          </w:p>
        </w:tc>
        <w:tc>
          <w:tcPr>
            <w:tcW w:w="920" w:type="dxa"/>
            <w:gridSpan w:val="3"/>
            <w:tcBorders>
              <w:left w:val="single" w:color="auto" w:sz="4" w:space="0"/>
              <w:right w:val="single" w:color="auto" w:sz="4" w:space="0"/>
            </w:tcBorders>
            <w:vAlign w:val="center"/>
          </w:tcPr>
          <w:p>
            <w:pPr>
              <w:widowControl/>
              <w:adjustRightInd w:val="0"/>
              <w:snapToGrid w:val="0"/>
              <w:jc w:val="center"/>
              <w:rPr>
                <w:rFonts w:eastAsia="方正小标宋简体"/>
                <w:kern w:val="0"/>
                <w:szCs w:val="21"/>
              </w:rPr>
            </w:pPr>
            <w:r>
              <w:rPr>
                <w:rFonts w:eastAsia="方正小标宋简体"/>
                <w:kern w:val="0"/>
                <w:szCs w:val="21"/>
              </w:rPr>
              <w:t>67</w:t>
            </w:r>
          </w:p>
        </w:tc>
        <w:tc>
          <w:tcPr>
            <w:tcW w:w="771" w:type="dxa"/>
            <w:gridSpan w:val="2"/>
            <w:vMerge w:val="restart"/>
            <w:tcBorders>
              <w:left w:val="single" w:color="auto" w:sz="4" w:space="0"/>
              <w:right w:val="single" w:color="auto" w:sz="12" w:space="0"/>
            </w:tcBorders>
            <w:vAlign w:val="center"/>
          </w:tcPr>
          <w:p>
            <w:pPr>
              <w:widowControl/>
              <w:adjustRightInd w:val="0"/>
              <w:snapToGrid w:val="0"/>
              <w:jc w:val="center"/>
              <w:rPr>
                <w:rFonts w:eastAsia="方正小标宋简体"/>
                <w:kern w:val="0"/>
                <w:szCs w:val="21"/>
              </w:rPr>
            </w:pPr>
            <w:r>
              <w:rPr>
                <w:rFonts w:eastAsia="仿宋_GB2312"/>
                <w:szCs w:val="21"/>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75" w:hRule="atLeast"/>
          <w:jc w:val="center"/>
        </w:trPr>
        <w:tc>
          <w:tcPr>
            <w:tcW w:w="1711" w:type="dxa"/>
            <w:gridSpan w:val="2"/>
            <w:vMerge w:val="continue"/>
            <w:vAlign w:val="center"/>
          </w:tcPr>
          <w:p>
            <w:pPr>
              <w:widowControl/>
              <w:adjustRightInd w:val="0"/>
              <w:snapToGrid w:val="0"/>
              <w:jc w:val="center"/>
              <w:rPr>
                <w:rFonts w:eastAsia="黑体"/>
                <w:szCs w:val="21"/>
              </w:rPr>
            </w:pPr>
          </w:p>
        </w:tc>
        <w:tc>
          <w:tcPr>
            <w:tcW w:w="7368" w:type="dxa"/>
            <w:gridSpan w:val="20"/>
            <w:tcBorders>
              <w:top w:val="single" w:color="auto" w:sz="4" w:space="0"/>
              <w:right w:val="single" w:color="auto" w:sz="4" w:space="0"/>
            </w:tcBorders>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2.考生双脚站立靠墙，单手伸直标记中指最高触墙点（示指高度），双脚立定垂直跳起，以单手指尖触墙，测量示指高度与跳起触墙高度之间的距离。两次测试，记录成绩较好的1次。</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3.考核以完成跳起高度计算成绩。</w:t>
            </w:r>
          </w:p>
          <w:p>
            <w:pPr>
              <w:widowControl/>
              <w:adjustRightInd w:val="0"/>
              <w:snapToGrid w:val="0"/>
              <w:ind w:firstLine="420" w:firstLineChars="200"/>
              <w:rPr>
                <w:szCs w:val="21"/>
              </w:rPr>
            </w:pPr>
            <w:r>
              <w:rPr>
                <w:szCs w:val="21"/>
              </w:rPr>
              <w:t>4.</w:t>
            </w:r>
            <w:r>
              <w:rPr>
                <w:rFonts w:eastAsia="仿宋_GB2312"/>
                <w:szCs w:val="21"/>
              </w:rPr>
              <w:t>得分超出10分的，每递增3厘米增加1分，最高15分。</w:t>
            </w:r>
          </w:p>
        </w:tc>
        <w:tc>
          <w:tcPr>
            <w:tcW w:w="771" w:type="dxa"/>
            <w:gridSpan w:val="2"/>
            <w:vMerge w:val="continue"/>
            <w:tcBorders>
              <w:left w:val="single" w:color="auto" w:sz="4" w:space="0"/>
              <w:right w:val="single" w:color="auto" w:sz="12" w:space="0"/>
            </w:tcBorders>
            <w:vAlign w:val="center"/>
          </w:tcPr>
          <w:p>
            <w:pPr>
              <w:widowControl/>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6" w:hRule="atLeast"/>
          <w:jc w:val="center"/>
        </w:trPr>
        <w:tc>
          <w:tcPr>
            <w:tcW w:w="1711" w:type="dxa"/>
            <w:gridSpan w:val="2"/>
            <w:vMerge w:val="restart"/>
            <w:vAlign w:val="center"/>
          </w:tcPr>
          <w:p>
            <w:pPr>
              <w:adjustRightInd w:val="0"/>
              <w:snapToGrid w:val="0"/>
              <w:jc w:val="center"/>
              <w:rPr>
                <w:rFonts w:eastAsia="黑体"/>
                <w:szCs w:val="21"/>
              </w:rPr>
            </w:pPr>
            <w:r>
              <w:rPr>
                <w:rFonts w:eastAsia="黑体"/>
                <w:szCs w:val="21"/>
              </w:rPr>
              <w:t>立定跳远</w:t>
            </w:r>
          </w:p>
          <w:p>
            <w:pPr>
              <w:adjustRightInd w:val="0"/>
              <w:snapToGrid w:val="0"/>
              <w:jc w:val="center"/>
              <w:rPr>
                <w:rFonts w:eastAsia="黑体"/>
                <w:szCs w:val="21"/>
              </w:rPr>
            </w:pPr>
            <w:r>
              <w:rPr>
                <w:rFonts w:eastAsia="黑体"/>
                <w:szCs w:val="21"/>
              </w:rPr>
              <w:t>（米）</w:t>
            </w:r>
          </w:p>
        </w:tc>
        <w:tc>
          <w:tcPr>
            <w:tcW w:w="778" w:type="dxa"/>
            <w:gridSpan w:val="2"/>
            <w:tcBorders>
              <w:top w:val="single" w:color="auto" w:sz="4" w:space="0"/>
              <w:bottom w:val="single" w:color="auto" w:sz="4" w:space="0"/>
              <w:right w:val="single" w:color="auto" w:sz="4" w:space="0"/>
            </w:tcBorders>
            <w:vAlign w:val="center"/>
          </w:tcPr>
          <w:p>
            <w:pPr>
              <w:widowControl/>
              <w:adjustRightInd w:val="0"/>
              <w:snapToGrid w:val="0"/>
              <w:jc w:val="center"/>
              <w:rPr>
                <w:rFonts w:hint="eastAsia"/>
                <w:szCs w:val="21"/>
              </w:rPr>
            </w:pPr>
            <w:r>
              <w:rPr>
                <w:szCs w:val="21"/>
              </w:rPr>
              <w:t>2.0</w:t>
            </w:r>
            <w:r>
              <w:rPr>
                <w:rFonts w:hint="eastAsia"/>
                <w:szCs w:val="21"/>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szCs w:val="21"/>
              </w:rPr>
            </w:pPr>
            <w:r>
              <w:rPr>
                <w:szCs w:val="21"/>
              </w:rPr>
              <w:t>2.13</w:t>
            </w:r>
          </w:p>
        </w:tc>
        <w:tc>
          <w:tcPr>
            <w:tcW w:w="708" w:type="dxa"/>
            <w:gridSpan w:val="2"/>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szCs w:val="21"/>
              </w:rPr>
            </w:pPr>
            <w:r>
              <w:rPr>
                <w:szCs w:val="21"/>
              </w:rPr>
              <w:t>2.17</w:t>
            </w:r>
          </w:p>
        </w:tc>
        <w:tc>
          <w:tcPr>
            <w:tcW w:w="709" w:type="dxa"/>
            <w:gridSpan w:val="2"/>
            <w:tcBorders>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2.21</w:t>
            </w:r>
          </w:p>
        </w:tc>
        <w:tc>
          <w:tcPr>
            <w:tcW w:w="709" w:type="dxa"/>
            <w:gridSpan w:val="2"/>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szCs w:val="21"/>
              </w:rPr>
            </w:pPr>
            <w:r>
              <w:rPr>
                <w:szCs w:val="21"/>
              </w:rPr>
              <w:t>2.25</w:t>
            </w:r>
          </w:p>
        </w:tc>
        <w:tc>
          <w:tcPr>
            <w:tcW w:w="709" w:type="dxa"/>
            <w:tcBorders>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2.29</w:t>
            </w:r>
          </w:p>
        </w:tc>
        <w:tc>
          <w:tcPr>
            <w:tcW w:w="708" w:type="dxa"/>
            <w:gridSpan w:val="2"/>
            <w:tcBorders>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2.33</w:t>
            </w:r>
          </w:p>
        </w:tc>
        <w:tc>
          <w:tcPr>
            <w:tcW w:w="709" w:type="dxa"/>
            <w:gridSpan w:val="2"/>
            <w:tcBorders>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2.37</w:t>
            </w:r>
          </w:p>
        </w:tc>
        <w:tc>
          <w:tcPr>
            <w:tcW w:w="709" w:type="dxa"/>
            <w:gridSpan w:val="2"/>
            <w:tcBorders>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2.41</w:t>
            </w:r>
          </w:p>
        </w:tc>
        <w:tc>
          <w:tcPr>
            <w:tcW w:w="920" w:type="dxa"/>
            <w:gridSpan w:val="3"/>
            <w:tcBorders>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2.45</w:t>
            </w:r>
          </w:p>
        </w:tc>
        <w:tc>
          <w:tcPr>
            <w:tcW w:w="771" w:type="dxa"/>
            <w:gridSpan w:val="2"/>
            <w:vMerge w:val="continue"/>
            <w:tcBorders>
              <w:left w:val="single" w:color="auto" w:sz="4" w:space="0"/>
              <w:right w:val="single" w:color="auto" w:sz="12" w:space="0"/>
            </w:tcBorders>
            <w:vAlign w:val="center"/>
          </w:tcPr>
          <w:p>
            <w:pPr>
              <w:widowControl/>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55" w:hRule="atLeast"/>
          <w:jc w:val="center"/>
        </w:trPr>
        <w:tc>
          <w:tcPr>
            <w:tcW w:w="1711" w:type="dxa"/>
            <w:gridSpan w:val="2"/>
            <w:vMerge w:val="continue"/>
            <w:vAlign w:val="center"/>
          </w:tcPr>
          <w:p>
            <w:pPr>
              <w:adjustRightInd w:val="0"/>
              <w:snapToGrid w:val="0"/>
              <w:jc w:val="center"/>
              <w:rPr>
                <w:rFonts w:eastAsia="黑体"/>
                <w:szCs w:val="21"/>
              </w:rPr>
            </w:pPr>
          </w:p>
        </w:tc>
        <w:tc>
          <w:tcPr>
            <w:tcW w:w="7368" w:type="dxa"/>
            <w:gridSpan w:val="20"/>
            <w:tcBorders>
              <w:top w:val="single" w:color="auto" w:sz="4" w:space="0"/>
              <w:bottom w:val="single" w:color="auto" w:sz="12" w:space="0"/>
              <w:right w:val="single" w:color="auto" w:sz="4" w:space="0"/>
            </w:tcBorders>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在跑道或平地上标出起跳线，考生站立在起跳线后，脚尖不得踩线，脚尖不得离开地面，两脚原地同时起跳，不得有助跑、垫步或连跳动作，测量起跳线后沿至身体任何着地最近点后沿的垂直距离。两次测试，记录成绩较好的1次。</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3.考核以完成跳出长度计算成绩。</w:t>
            </w:r>
          </w:p>
          <w:p>
            <w:pPr>
              <w:widowControl/>
              <w:adjustRightInd w:val="0"/>
              <w:snapToGrid w:val="0"/>
              <w:ind w:firstLine="420" w:firstLineChars="200"/>
              <w:rPr>
                <w:kern w:val="0"/>
                <w:szCs w:val="21"/>
              </w:rPr>
            </w:pPr>
            <w:r>
              <w:rPr>
                <w:szCs w:val="21"/>
              </w:rPr>
              <w:t>4.</w:t>
            </w:r>
            <w:r>
              <w:rPr>
                <w:rFonts w:eastAsia="仿宋_GB2312"/>
                <w:szCs w:val="21"/>
              </w:rPr>
              <w:t>得分超出10分的，每递增4厘米增加1分，最高15分。</w:t>
            </w:r>
          </w:p>
        </w:tc>
        <w:tc>
          <w:tcPr>
            <w:tcW w:w="771" w:type="dxa"/>
            <w:gridSpan w:val="2"/>
            <w:vMerge w:val="continue"/>
            <w:tcBorders>
              <w:left w:val="single" w:color="auto" w:sz="4" w:space="0"/>
              <w:bottom w:val="single" w:color="auto" w:sz="12" w:space="0"/>
              <w:right w:val="single" w:color="auto" w:sz="12" w:space="0"/>
            </w:tcBorders>
            <w:vAlign w:val="center"/>
          </w:tcPr>
          <w:p>
            <w:pPr>
              <w:widowControl/>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714" w:hRule="atLeast"/>
          <w:jc w:val="center"/>
        </w:trPr>
        <w:tc>
          <w:tcPr>
            <w:tcW w:w="1705" w:type="dxa"/>
            <w:vMerge w:val="restart"/>
            <w:vAlign w:val="center"/>
          </w:tcPr>
          <w:p>
            <w:pPr>
              <w:widowControl/>
              <w:adjustRightInd w:val="0"/>
              <w:snapToGrid w:val="0"/>
              <w:jc w:val="center"/>
              <w:rPr>
                <w:rFonts w:eastAsia="黑体"/>
                <w:kern w:val="0"/>
                <w:sz w:val="22"/>
                <w:szCs w:val="22"/>
              </w:rPr>
            </w:pPr>
            <w:r>
              <w:rPr>
                <w:rFonts w:eastAsia="黑体"/>
                <w:kern w:val="0"/>
                <w:sz w:val="22"/>
                <w:szCs w:val="22"/>
              </w:rPr>
              <w:t>项    目</w:t>
            </w:r>
          </w:p>
        </w:tc>
        <w:tc>
          <w:tcPr>
            <w:tcW w:w="7335" w:type="dxa"/>
            <w:gridSpan w:val="20"/>
            <w:tcBorders>
              <w:right w:val="single" w:color="auto" w:sz="4" w:space="0"/>
            </w:tcBorders>
            <w:vAlign w:val="center"/>
          </w:tcPr>
          <w:p>
            <w:pPr>
              <w:widowControl/>
              <w:adjustRightInd w:val="0"/>
              <w:snapToGrid w:val="0"/>
              <w:jc w:val="center"/>
              <w:rPr>
                <w:rFonts w:eastAsia="黑体"/>
                <w:kern w:val="0"/>
                <w:sz w:val="22"/>
                <w:szCs w:val="22"/>
              </w:rPr>
            </w:pPr>
            <w:r>
              <w:rPr>
                <w:rFonts w:eastAsia="黑体"/>
                <w:kern w:val="0"/>
                <w:sz w:val="22"/>
                <w:szCs w:val="22"/>
              </w:rPr>
              <w:t>体能测试成绩对应分值、测试办法</w:t>
            </w:r>
          </w:p>
        </w:tc>
        <w:tc>
          <w:tcPr>
            <w:tcW w:w="771" w:type="dxa"/>
            <w:gridSpan w:val="2"/>
            <w:vMerge w:val="restart"/>
            <w:tcBorders>
              <w:left w:val="single" w:color="auto" w:sz="4" w:space="0"/>
              <w:right w:val="single" w:color="auto" w:sz="12" w:space="0"/>
            </w:tcBorders>
            <w:vAlign w:val="center"/>
          </w:tcPr>
          <w:p>
            <w:pPr>
              <w:widowControl/>
              <w:adjustRightInd w:val="0"/>
              <w:snapToGrid w:val="0"/>
              <w:jc w:val="center"/>
              <w:rPr>
                <w:rFonts w:eastAsia="黑体"/>
                <w:kern w:val="0"/>
                <w:sz w:val="22"/>
                <w:szCs w:val="22"/>
              </w:rPr>
            </w:pPr>
            <w:r>
              <w:rPr>
                <w:rFonts w:eastAsia="黑体"/>
                <w:kern w:val="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716" w:hRule="atLeast"/>
          <w:jc w:val="center"/>
        </w:trPr>
        <w:tc>
          <w:tcPr>
            <w:tcW w:w="1705" w:type="dxa"/>
            <w:vMerge w:val="continue"/>
            <w:vAlign w:val="center"/>
          </w:tcPr>
          <w:p>
            <w:pPr>
              <w:widowControl/>
              <w:adjustRightInd w:val="0"/>
              <w:snapToGrid w:val="0"/>
              <w:jc w:val="center"/>
              <w:rPr>
                <w:rFonts w:eastAsia="黑体"/>
                <w:kern w:val="0"/>
                <w:sz w:val="22"/>
                <w:szCs w:val="22"/>
              </w:rPr>
            </w:pPr>
          </w:p>
        </w:tc>
        <w:tc>
          <w:tcPr>
            <w:tcW w:w="722" w:type="dxa"/>
            <w:gridSpan w:val="2"/>
            <w:vAlign w:val="center"/>
          </w:tcPr>
          <w:p>
            <w:pPr>
              <w:widowControl/>
              <w:adjustRightInd w:val="0"/>
              <w:snapToGrid w:val="0"/>
              <w:jc w:val="center"/>
              <w:rPr>
                <w:rFonts w:eastAsia="楷体_GB2312"/>
                <w:kern w:val="0"/>
                <w:sz w:val="22"/>
                <w:szCs w:val="22"/>
              </w:rPr>
            </w:pPr>
            <w:r>
              <w:rPr>
                <w:rFonts w:eastAsia="楷体_GB2312"/>
                <w:kern w:val="0"/>
                <w:sz w:val="22"/>
                <w:szCs w:val="22"/>
              </w:rPr>
              <w:t>1分</w:t>
            </w:r>
          </w:p>
        </w:tc>
        <w:tc>
          <w:tcPr>
            <w:tcW w:w="722" w:type="dxa"/>
            <w:gridSpan w:val="2"/>
            <w:vAlign w:val="center"/>
          </w:tcPr>
          <w:p>
            <w:pPr>
              <w:adjustRightInd w:val="0"/>
              <w:snapToGrid w:val="0"/>
              <w:jc w:val="center"/>
              <w:rPr>
                <w:rFonts w:eastAsia="楷体_GB2312"/>
                <w:kern w:val="0"/>
                <w:sz w:val="22"/>
                <w:szCs w:val="22"/>
              </w:rPr>
            </w:pPr>
            <w:r>
              <w:rPr>
                <w:rFonts w:eastAsia="楷体_GB2312"/>
                <w:kern w:val="0"/>
                <w:sz w:val="22"/>
                <w:szCs w:val="22"/>
              </w:rPr>
              <w:t>2分</w:t>
            </w:r>
          </w:p>
        </w:tc>
        <w:tc>
          <w:tcPr>
            <w:tcW w:w="723" w:type="dxa"/>
            <w:gridSpan w:val="2"/>
            <w:vAlign w:val="center"/>
          </w:tcPr>
          <w:p>
            <w:pPr>
              <w:widowControl/>
              <w:adjustRightInd w:val="0"/>
              <w:snapToGrid w:val="0"/>
              <w:jc w:val="center"/>
              <w:rPr>
                <w:rFonts w:eastAsia="楷体_GB2312"/>
                <w:kern w:val="0"/>
                <w:sz w:val="22"/>
                <w:szCs w:val="22"/>
              </w:rPr>
            </w:pPr>
            <w:r>
              <w:rPr>
                <w:rFonts w:eastAsia="楷体_GB2312"/>
                <w:kern w:val="0"/>
                <w:sz w:val="22"/>
                <w:szCs w:val="22"/>
              </w:rPr>
              <w:t>3分</w:t>
            </w:r>
          </w:p>
        </w:tc>
        <w:tc>
          <w:tcPr>
            <w:tcW w:w="723" w:type="dxa"/>
            <w:gridSpan w:val="2"/>
            <w:vAlign w:val="center"/>
          </w:tcPr>
          <w:p>
            <w:pPr>
              <w:widowControl/>
              <w:adjustRightInd w:val="0"/>
              <w:snapToGrid w:val="0"/>
              <w:jc w:val="center"/>
              <w:rPr>
                <w:rFonts w:eastAsia="楷体_GB2312"/>
                <w:kern w:val="0"/>
                <w:sz w:val="22"/>
                <w:szCs w:val="22"/>
              </w:rPr>
            </w:pPr>
            <w:r>
              <w:rPr>
                <w:rFonts w:eastAsia="楷体_GB2312"/>
                <w:kern w:val="0"/>
                <w:sz w:val="22"/>
                <w:szCs w:val="22"/>
              </w:rPr>
              <w:t>4分</w:t>
            </w:r>
          </w:p>
        </w:tc>
        <w:tc>
          <w:tcPr>
            <w:tcW w:w="723" w:type="dxa"/>
            <w:gridSpan w:val="2"/>
            <w:vAlign w:val="center"/>
          </w:tcPr>
          <w:p>
            <w:pPr>
              <w:widowControl/>
              <w:adjustRightInd w:val="0"/>
              <w:snapToGrid w:val="0"/>
              <w:jc w:val="center"/>
              <w:rPr>
                <w:rFonts w:eastAsia="楷体_GB2312"/>
                <w:kern w:val="0"/>
                <w:sz w:val="22"/>
                <w:szCs w:val="22"/>
              </w:rPr>
            </w:pPr>
            <w:r>
              <w:rPr>
                <w:rFonts w:eastAsia="楷体_GB2312"/>
                <w:kern w:val="0"/>
                <w:sz w:val="22"/>
                <w:szCs w:val="22"/>
              </w:rPr>
              <w:t>5分</w:t>
            </w:r>
          </w:p>
        </w:tc>
        <w:tc>
          <w:tcPr>
            <w:tcW w:w="723" w:type="dxa"/>
            <w:gridSpan w:val="3"/>
            <w:vAlign w:val="center"/>
          </w:tcPr>
          <w:p>
            <w:pPr>
              <w:widowControl/>
              <w:adjustRightInd w:val="0"/>
              <w:snapToGrid w:val="0"/>
              <w:jc w:val="center"/>
              <w:rPr>
                <w:rFonts w:eastAsia="楷体_GB2312"/>
                <w:kern w:val="0"/>
                <w:sz w:val="22"/>
                <w:szCs w:val="22"/>
              </w:rPr>
            </w:pPr>
            <w:r>
              <w:rPr>
                <w:rFonts w:eastAsia="楷体_GB2312"/>
                <w:kern w:val="0"/>
                <w:sz w:val="22"/>
                <w:szCs w:val="22"/>
              </w:rPr>
              <w:t>6分</w:t>
            </w:r>
          </w:p>
        </w:tc>
        <w:tc>
          <w:tcPr>
            <w:tcW w:w="723" w:type="dxa"/>
            <w:gridSpan w:val="2"/>
            <w:vAlign w:val="center"/>
          </w:tcPr>
          <w:p>
            <w:pPr>
              <w:widowControl/>
              <w:adjustRightInd w:val="0"/>
              <w:snapToGrid w:val="0"/>
              <w:jc w:val="center"/>
              <w:rPr>
                <w:rFonts w:eastAsia="楷体_GB2312"/>
                <w:kern w:val="0"/>
                <w:sz w:val="22"/>
                <w:szCs w:val="22"/>
              </w:rPr>
            </w:pPr>
            <w:r>
              <w:rPr>
                <w:rFonts w:eastAsia="楷体_GB2312"/>
                <w:kern w:val="0"/>
                <w:sz w:val="22"/>
                <w:szCs w:val="22"/>
              </w:rPr>
              <w:t>7分</w:t>
            </w:r>
          </w:p>
        </w:tc>
        <w:tc>
          <w:tcPr>
            <w:tcW w:w="723" w:type="dxa"/>
            <w:gridSpan w:val="2"/>
            <w:vAlign w:val="center"/>
          </w:tcPr>
          <w:p>
            <w:pPr>
              <w:widowControl/>
              <w:adjustRightInd w:val="0"/>
              <w:snapToGrid w:val="0"/>
              <w:jc w:val="center"/>
              <w:rPr>
                <w:rFonts w:eastAsia="楷体_GB2312"/>
                <w:kern w:val="0"/>
                <w:sz w:val="22"/>
                <w:szCs w:val="22"/>
              </w:rPr>
            </w:pPr>
            <w:r>
              <w:rPr>
                <w:rFonts w:eastAsia="楷体_GB2312"/>
                <w:kern w:val="0"/>
                <w:sz w:val="22"/>
                <w:szCs w:val="22"/>
              </w:rPr>
              <w:t>8分</w:t>
            </w:r>
          </w:p>
        </w:tc>
        <w:tc>
          <w:tcPr>
            <w:tcW w:w="723" w:type="dxa"/>
            <w:gridSpan w:val="2"/>
            <w:vAlign w:val="center"/>
          </w:tcPr>
          <w:p>
            <w:pPr>
              <w:widowControl/>
              <w:adjustRightInd w:val="0"/>
              <w:snapToGrid w:val="0"/>
              <w:jc w:val="center"/>
              <w:rPr>
                <w:rFonts w:eastAsia="楷体_GB2312"/>
                <w:kern w:val="0"/>
                <w:sz w:val="22"/>
                <w:szCs w:val="22"/>
              </w:rPr>
            </w:pPr>
            <w:r>
              <w:rPr>
                <w:rFonts w:eastAsia="楷体_GB2312"/>
                <w:kern w:val="0"/>
                <w:sz w:val="22"/>
                <w:szCs w:val="22"/>
              </w:rPr>
              <w:t>9分</w:t>
            </w:r>
          </w:p>
        </w:tc>
        <w:tc>
          <w:tcPr>
            <w:tcW w:w="830" w:type="dxa"/>
            <w:tcBorders>
              <w:bottom w:val="single" w:color="auto" w:sz="4" w:space="0"/>
              <w:right w:val="single" w:color="auto" w:sz="4" w:space="0"/>
            </w:tcBorders>
            <w:vAlign w:val="center"/>
          </w:tcPr>
          <w:p>
            <w:pPr>
              <w:widowControl/>
              <w:adjustRightInd w:val="0"/>
              <w:snapToGrid w:val="0"/>
              <w:jc w:val="center"/>
              <w:rPr>
                <w:rFonts w:eastAsia="楷体_GB2312"/>
                <w:spacing w:val="-10"/>
                <w:kern w:val="0"/>
                <w:sz w:val="22"/>
                <w:szCs w:val="22"/>
              </w:rPr>
            </w:pPr>
            <w:r>
              <w:rPr>
                <w:rFonts w:eastAsia="楷体_GB2312"/>
                <w:spacing w:val="-10"/>
                <w:kern w:val="0"/>
                <w:sz w:val="22"/>
                <w:szCs w:val="22"/>
              </w:rPr>
              <w:t>10分</w:t>
            </w:r>
          </w:p>
        </w:tc>
        <w:tc>
          <w:tcPr>
            <w:tcW w:w="771" w:type="dxa"/>
            <w:gridSpan w:val="2"/>
            <w:vMerge w:val="continue"/>
            <w:tcBorders>
              <w:left w:val="single" w:color="auto" w:sz="4" w:space="0"/>
              <w:bottom w:val="single" w:color="auto" w:sz="4" w:space="0"/>
              <w:right w:val="single" w:color="auto" w:sz="12" w:space="0"/>
            </w:tcBorders>
            <w:vAlign w:val="center"/>
          </w:tcPr>
          <w:p>
            <w:pPr>
              <w:widowControl/>
              <w:adjustRightInd w:val="0"/>
              <w:snapToGrid w:val="0"/>
              <w:jc w:val="center"/>
              <w:rPr>
                <w:rFonts w:eastAsia="楷体_GB2312"/>
                <w:spacing w:val="-1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716" w:hRule="atLeast"/>
          <w:jc w:val="center"/>
        </w:trPr>
        <w:tc>
          <w:tcPr>
            <w:tcW w:w="1705" w:type="dxa"/>
            <w:vMerge w:val="restart"/>
            <w:vAlign w:val="center"/>
          </w:tcPr>
          <w:p>
            <w:pPr>
              <w:widowControl/>
              <w:adjustRightInd w:val="0"/>
              <w:snapToGrid w:val="0"/>
              <w:jc w:val="center"/>
              <w:rPr>
                <w:kern w:val="0"/>
                <w:szCs w:val="21"/>
              </w:rPr>
            </w:pPr>
            <w:r>
              <w:rPr>
                <w:rFonts w:eastAsia="黑体"/>
                <w:szCs w:val="21"/>
              </w:rPr>
              <w:t>单杠引体向上（次/3分钟）</w:t>
            </w:r>
          </w:p>
        </w:tc>
        <w:tc>
          <w:tcPr>
            <w:tcW w:w="722" w:type="dxa"/>
            <w:gridSpan w:val="2"/>
            <w:vAlign w:val="center"/>
          </w:tcPr>
          <w:p>
            <w:pPr>
              <w:widowControl/>
              <w:adjustRightInd w:val="0"/>
              <w:snapToGrid w:val="0"/>
              <w:jc w:val="center"/>
              <w:rPr>
                <w:kern w:val="0"/>
                <w:szCs w:val="21"/>
              </w:rPr>
            </w:pPr>
            <w:r>
              <w:rPr>
                <w:kern w:val="0"/>
                <w:szCs w:val="21"/>
              </w:rPr>
              <w:t>-</w:t>
            </w:r>
          </w:p>
        </w:tc>
        <w:tc>
          <w:tcPr>
            <w:tcW w:w="722" w:type="dxa"/>
            <w:gridSpan w:val="2"/>
            <w:vAlign w:val="center"/>
          </w:tcPr>
          <w:p>
            <w:pPr>
              <w:widowControl/>
              <w:adjustRightInd w:val="0"/>
              <w:snapToGrid w:val="0"/>
              <w:jc w:val="center"/>
              <w:rPr>
                <w:kern w:val="0"/>
                <w:szCs w:val="21"/>
              </w:rPr>
            </w:pPr>
            <w:r>
              <w:rPr>
                <w:kern w:val="0"/>
                <w:szCs w:val="21"/>
              </w:rPr>
              <w:t>-</w:t>
            </w:r>
          </w:p>
        </w:tc>
        <w:tc>
          <w:tcPr>
            <w:tcW w:w="723" w:type="dxa"/>
            <w:gridSpan w:val="2"/>
            <w:vAlign w:val="center"/>
          </w:tcPr>
          <w:p>
            <w:pPr>
              <w:widowControl/>
              <w:adjustRightInd w:val="0"/>
              <w:snapToGrid w:val="0"/>
              <w:jc w:val="center"/>
              <w:rPr>
                <w:kern w:val="0"/>
                <w:szCs w:val="21"/>
              </w:rPr>
            </w:pPr>
            <w:r>
              <w:rPr>
                <w:kern w:val="0"/>
                <w:szCs w:val="21"/>
              </w:rPr>
              <w:t>1</w:t>
            </w:r>
          </w:p>
        </w:tc>
        <w:tc>
          <w:tcPr>
            <w:tcW w:w="723" w:type="dxa"/>
            <w:gridSpan w:val="2"/>
            <w:vAlign w:val="center"/>
          </w:tcPr>
          <w:p>
            <w:pPr>
              <w:widowControl/>
              <w:adjustRightInd w:val="0"/>
              <w:snapToGrid w:val="0"/>
              <w:jc w:val="center"/>
              <w:rPr>
                <w:kern w:val="0"/>
                <w:szCs w:val="21"/>
              </w:rPr>
            </w:pPr>
            <w:r>
              <w:rPr>
                <w:kern w:val="0"/>
                <w:szCs w:val="21"/>
              </w:rPr>
              <w:t>2</w:t>
            </w:r>
          </w:p>
        </w:tc>
        <w:tc>
          <w:tcPr>
            <w:tcW w:w="723" w:type="dxa"/>
            <w:gridSpan w:val="2"/>
            <w:vAlign w:val="center"/>
          </w:tcPr>
          <w:p>
            <w:pPr>
              <w:widowControl/>
              <w:adjustRightInd w:val="0"/>
              <w:snapToGrid w:val="0"/>
              <w:jc w:val="center"/>
              <w:rPr>
                <w:kern w:val="0"/>
                <w:szCs w:val="21"/>
              </w:rPr>
            </w:pPr>
            <w:r>
              <w:rPr>
                <w:kern w:val="0"/>
                <w:szCs w:val="21"/>
              </w:rPr>
              <w:t>3</w:t>
            </w:r>
          </w:p>
        </w:tc>
        <w:tc>
          <w:tcPr>
            <w:tcW w:w="723" w:type="dxa"/>
            <w:gridSpan w:val="3"/>
            <w:vAlign w:val="center"/>
          </w:tcPr>
          <w:p>
            <w:pPr>
              <w:widowControl/>
              <w:adjustRightInd w:val="0"/>
              <w:snapToGrid w:val="0"/>
              <w:jc w:val="center"/>
              <w:rPr>
                <w:kern w:val="0"/>
                <w:szCs w:val="21"/>
              </w:rPr>
            </w:pPr>
            <w:r>
              <w:rPr>
                <w:kern w:val="0"/>
                <w:szCs w:val="21"/>
              </w:rPr>
              <w:t>4</w:t>
            </w:r>
          </w:p>
        </w:tc>
        <w:tc>
          <w:tcPr>
            <w:tcW w:w="723" w:type="dxa"/>
            <w:gridSpan w:val="2"/>
            <w:vAlign w:val="center"/>
          </w:tcPr>
          <w:p>
            <w:pPr>
              <w:widowControl/>
              <w:adjustRightInd w:val="0"/>
              <w:snapToGrid w:val="0"/>
              <w:jc w:val="center"/>
              <w:rPr>
                <w:kern w:val="0"/>
                <w:szCs w:val="21"/>
              </w:rPr>
            </w:pPr>
            <w:r>
              <w:rPr>
                <w:kern w:val="0"/>
                <w:szCs w:val="21"/>
              </w:rPr>
              <w:t>5</w:t>
            </w:r>
          </w:p>
        </w:tc>
        <w:tc>
          <w:tcPr>
            <w:tcW w:w="723" w:type="dxa"/>
            <w:gridSpan w:val="2"/>
            <w:vAlign w:val="center"/>
          </w:tcPr>
          <w:p>
            <w:pPr>
              <w:widowControl/>
              <w:adjustRightInd w:val="0"/>
              <w:snapToGrid w:val="0"/>
              <w:jc w:val="center"/>
              <w:rPr>
                <w:kern w:val="0"/>
                <w:szCs w:val="21"/>
              </w:rPr>
            </w:pPr>
            <w:r>
              <w:rPr>
                <w:kern w:val="0"/>
                <w:szCs w:val="21"/>
              </w:rPr>
              <w:t>6</w:t>
            </w:r>
          </w:p>
        </w:tc>
        <w:tc>
          <w:tcPr>
            <w:tcW w:w="723" w:type="dxa"/>
            <w:gridSpan w:val="2"/>
            <w:vAlign w:val="center"/>
          </w:tcPr>
          <w:p>
            <w:pPr>
              <w:widowControl/>
              <w:adjustRightInd w:val="0"/>
              <w:snapToGrid w:val="0"/>
              <w:jc w:val="center"/>
              <w:rPr>
                <w:kern w:val="0"/>
                <w:szCs w:val="21"/>
              </w:rPr>
            </w:pPr>
            <w:r>
              <w:rPr>
                <w:kern w:val="0"/>
                <w:szCs w:val="21"/>
              </w:rPr>
              <w:t>7</w:t>
            </w:r>
          </w:p>
        </w:tc>
        <w:tc>
          <w:tcPr>
            <w:tcW w:w="830" w:type="dxa"/>
            <w:tcBorders>
              <w:top w:val="single" w:color="auto" w:sz="4" w:space="0"/>
              <w:right w:val="single" w:color="auto" w:sz="4" w:space="0"/>
            </w:tcBorders>
            <w:vAlign w:val="center"/>
          </w:tcPr>
          <w:p>
            <w:pPr>
              <w:widowControl/>
              <w:adjustRightInd w:val="0"/>
              <w:snapToGrid w:val="0"/>
              <w:jc w:val="center"/>
              <w:rPr>
                <w:kern w:val="0"/>
                <w:szCs w:val="21"/>
              </w:rPr>
            </w:pPr>
            <w:r>
              <w:rPr>
                <w:kern w:val="0"/>
                <w:szCs w:val="21"/>
              </w:rPr>
              <w:t>8</w:t>
            </w:r>
          </w:p>
        </w:tc>
        <w:tc>
          <w:tcPr>
            <w:tcW w:w="771" w:type="dxa"/>
            <w:gridSpan w:val="2"/>
            <w:vMerge w:val="restart"/>
            <w:tcBorders>
              <w:top w:val="single" w:color="auto" w:sz="4" w:space="0"/>
              <w:left w:val="single" w:color="auto" w:sz="4" w:space="0"/>
              <w:right w:val="single" w:color="auto" w:sz="12" w:space="0"/>
            </w:tcBorders>
            <w:vAlign w:val="center"/>
          </w:tcPr>
          <w:p>
            <w:pPr>
              <w:adjustRightInd w:val="0"/>
              <w:snapToGrid w:val="0"/>
              <w:spacing w:line="240" w:lineRule="exact"/>
              <w:jc w:val="left"/>
              <w:textAlignment w:val="center"/>
              <w:rPr>
                <w:kern w:val="0"/>
                <w:szCs w:val="21"/>
              </w:rPr>
            </w:pPr>
            <w:r>
              <w:rPr>
                <w:rFonts w:eastAsia="仿宋_GB2312"/>
                <w:szCs w:val="21"/>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1444" w:hRule="atLeast"/>
          <w:jc w:val="center"/>
        </w:trPr>
        <w:tc>
          <w:tcPr>
            <w:tcW w:w="1705" w:type="dxa"/>
            <w:vMerge w:val="continue"/>
            <w:vAlign w:val="center"/>
          </w:tcPr>
          <w:p>
            <w:pPr>
              <w:widowControl/>
              <w:adjustRightInd w:val="0"/>
              <w:snapToGrid w:val="0"/>
              <w:jc w:val="center"/>
              <w:rPr>
                <w:rFonts w:eastAsia="黑体"/>
                <w:szCs w:val="21"/>
              </w:rPr>
            </w:pPr>
          </w:p>
        </w:tc>
        <w:tc>
          <w:tcPr>
            <w:tcW w:w="7335" w:type="dxa"/>
            <w:gridSpan w:val="20"/>
            <w:tcBorders>
              <w:right w:val="single" w:color="auto" w:sz="4" w:space="0"/>
            </w:tcBorders>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 xml:space="preserve">2.按照规定动作要领完成动作。引体时下颌高于杠面、身体不得借助振浪或摆动、悬垂时双肘关节伸直；脚触及地面或立柱，结束考核。 </w:t>
            </w:r>
          </w:p>
          <w:p>
            <w:pPr>
              <w:widowControl/>
              <w:adjustRightInd w:val="0"/>
              <w:snapToGrid w:val="0"/>
              <w:ind w:firstLine="420" w:firstLineChars="200"/>
              <w:jc w:val="left"/>
              <w:rPr>
                <w:rFonts w:eastAsia="仿宋_GB2312"/>
                <w:szCs w:val="21"/>
              </w:rPr>
            </w:pPr>
            <w:r>
              <w:rPr>
                <w:rFonts w:eastAsia="仿宋_GB2312"/>
                <w:szCs w:val="21"/>
              </w:rPr>
              <w:t>3.考核以完成次数计算成绩。</w:t>
            </w:r>
          </w:p>
          <w:p>
            <w:pPr>
              <w:widowControl/>
              <w:adjustRightInd w:val="0"/>
              <w:snapToGrid w:val="0"/>
              <w:ind w:firstLine="420" w:firstLineChars="200"/>
              <w:jc w:val="left"/>
              <w:rPr>
                <w:kern w:val="0"/>
                <w:szCs w:val="21"/>
              </w:rPr>
            </w:pPr>
            <w:r>
              <w:rPr>
                <w:rFonts w:eastAsia="仿宋_GB2312"/>
                <w:szCs w:val="21"/>
              </w:rPr>
              <w:t>4.得分超出10分的，每递增1次增加1分，最高15分。</w:t>
            </w:r>
          </w:p>
        </w:tc>
        <w:tc>
          <w:tcPr>
            <w:tcW w:w="771" w:type="dxa"/>
            <w:gridSpan w:val="2"/>
            <w:vMerge w:val="continue"/>
            <w:tcBorders>
              <w:left w:val="single" w:color="auto" w:sz="4" w:space="0"/>
              <w:right w:val="single" w:color="auto" w:sz="12" w:space="0"/>
            </w:tcBorders>
            <w:vAlign w:val="center"/>
          </w:tcPr>
          <w:p>
            <w:pPr>
              <w:adjustRightInd w:val="0"/>
              <w:snapToGrid w:val="0"/>
              <w:spacing w:line="240" w:lineRule="exact"/>
              <w:jc w:val="left"/>
              <w:textAlignment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707" w:hRule="atLeast"/>
          <w:jc w:val="center"/>
        </w:trPr>
        <w:tc>
          <w:tcPr>
            <w:tcW w:w="1705" w:type="dxa"/>
            <w:vMerge w:val="restart"/>
            <w:vAlign w:val="center"/>
          </w:tcPr>
          <w:p>
            <w:pPr>
              <w:widowControl/>
              <w:adjustRightInd w:val="0"/>
              <w:snapToGrid w:val="0"/>
              <w:jc w:val="center"/>
              <w:rPr>
                <w:rFonts w:eastAsia="黑体"/>
                <w:szCs w:val="21"/>
              </w:rPr>
            </w:pPr>
            <w:r>
              <w:rPr>
                <w:rFonts w:eastAsia="黑体"/>
                <w:szCs w:val="21"/>
              </w:rPr>
              <w:t>俯卧撑</w:t>
            </w:r>
          </w:p>
          <w:p>
            <w:pPr>
              <w:widowControl/>
              <w:adjustRightInd w:val="0"/>
              <w:snapToGrid w:val="0"/>
              <w:jc w:val="center"/>
              <w:rPr>
                <w:rFonts w:eastAsia="黑体"/>
                <w:szCs w:val="21"/>
              </w:rPr>
            </w:pPr>
            <w:r>
              <w:rPr>
                <w:rFonts w:eastAsia="黑体"/>
                <w:szCs w:val="21"/>
              </w:rPr>
              <w:t>（次/2分钟）</w:t>
            </w:r>
          </w:p>
        </w:tc>
        <w:tc>
          <w:tcPr>
            <w:tcW w:w="722" w:type="dxa"/>
            <w:gridSpan w:val="2"/>
            <w:tcBorders>
              <w:right w:val="single" w:color="auto" w:sz="4" w:space="0"/>
            </w:tcBorders>
            <w:vAlign w:val="center"/>
          </w:tcPr>
          <w:p>
            <w:pPr>
              <w:widowControl/>
              <w:adjustRightInd w:val="0"/>
              <w:snapToGrid w:val="0"/>
              <w:jc w:val="center"/>
              <w:rPr>
                <w:kern w:val="0"/>
                <w:szCs w:val="21"/>
              </w:rPr>
            </w:pPr>
            <w:r>
              <w:rPr>
                <w:kern w:val="0"/>
                <w:szCs w:val="21"/>
              </w:rPr>
              <w:t>6</w:t>
            </w:r>
          </w:p>
        </w:tc>
        <w:tc>
          <w:tcPr>
            <w:tcW w:w="722"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8</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10</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12</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14</w:t>
            </w:r>
          </w:p>
        </w:tc>
        <w:tc>
          <w:tcPr>
            <w:tcW w:w="723" w:type="dxa"/>
            <w:gridSpan w:val="3"/>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16</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20</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25</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30</w:t>
            </w:r>
          </w:p>
        </w:tc>
        <w:tc>
          <w:tcPr>
            <w:tcW w:w="830" w:type="dxa"/>
            <w:tcBorders>
              <w:left w:val="single" w:color="auto" w:sz="4" w:space="0"/>
              <w:right w:val="single" w:color="auto" w:sz="4" w:space="0"/>
            </w:tcBorders>
            <w:vAlign w:val="center"/>
          </w:tcPr>
          <w:p>
            <w:pPr>
              <w:widowControl/>
              <w:adjustRightInd w:val="0"/>
              <w:snapToGrid w:val="0"/>
              <w:jc w:val="center"/>
              <w:rPr>
                <w:kern w:val="0"/>
                <w:szCs w:val="21"/>
              </w:rPr>
            </w:pPr>
            <w:r>
              <w:rPr>
                <w:kern w:val="0"/>
                <w:szCs w:val="21"/>
              </w:rPr>
              <w:t>35</w:t>
            </w:r>
          </w:p>
        </w:tc>
        <w:tc>
          <w:tcPr>
            <w:tcW w:w="771" w:type="dxa"/>
            <w:gridSpan w:val="2"/>
            <w:vMerge w:val="continue"/>
            <w:tcBorders>
              <w:left w:val="single" w:color="auto" w:sz="4" w:space="0"/>
              <w:right w:val="single" w:color="auto" w:sz="12" w:space="0"/>
            </w:tcBorders>
            <w:vAlign w:val="center"/>
          </w:tcPr>
          <w:p>
            <w:pPr>
              <w:adjustRightInd w:val="0"/>
              <w:snapToGrid w:val="0"/>
              <w:spacing w:line="240" w:lineRule="exact"/>
              <w:jc w:val="left"/>
              <w:textAlignment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1390" w:hRule="atLeast"/>
          <w:jc w:val="center"/>
        </w:trPr>
        <w:tc>
          <w:tcPr>
            <w:tcW w:w="1705" w:type="dxa"/>
            <w:vMerge w:val="continue"/>
            <w:vAlign w:val="center"/>
          </w:tcPr>
          <w:p>
            <w:pPr>
              <w:widowControl/>
              <w:adjustRightInd w:val="0"/>
              <w:snapToGrid w:val="0"/>
              <w:jc w:val="center"/>
              <w:rPr>
                <w:rFonts w:eastAsia="黑体"/>
                <w:szCs w:val="21"/>
              </w:rPr>
            </w:pPr>
          </w:p>
        </w:tc>
        <w:tc>
          <w:tcPr>
            <w:tcW w:w="7335" w:type="dxa"/>
            <w:gridSpan w:val="20"/>
            <w:tcBorders>
              <w:right w:val="single" w:color="auto" w:sz="4" w:space="0"/>
            </w:tcBorders>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2.按照规定动作要领完成动作。屈臂时肩关节高于肘关节、伸臂时双肘关节未伸直、做动作时身体未保持平直，该次动作不计数；除手脚外身体其他部位触及地面，结束考核。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3.得分超出10分的，每递增5次增加1分，最高15分。</w:t>
            </w:r>
          </w:p>
        </w:tc>
        <w:tc>
          <w:tcPr>
            <w:tcW w:w="771" w:type="dxa"/>
            <w:gridSpan w:val="2"/>
            <w:vMerge w:val="continue"/>
            <w:tcBorders>
              <w:left w:val="single" w:color="auto" w:sz="4" w:space="0"/>
              <w:right w:val="single" w:color="auto" w:sz="12" w:space="0"/>
            </w:tcBorders>
            <w:vAlign w:val="center"/>
          </w:tcPr>
          <w:p>
            <w:pPr>
              <w:adjustRightInd w:val="0"/>
              <w:snapToGrid w:val="0"/>
              <w:spacing w:line="240" w:lineRule="exact"/>
              <w:jc w:val="left"/>
              <w:textAlignment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714" w:hRule="atLeast"/>
          <w:jc w:val="center"/>
        </w:trPr>
        <w:tc>
          <w:tcPr>
            <w:tcW w:w="1705" w:type="dxa"/>
            <w:vMerge w:val="restart"/>
            <w:vAlign w:val="center"/>
          </w:tcPr>
          <w:p>
            <w:pPr>
              <w:widowControl/>
              <w:adjustRightInd w:val="0"/>
              <w:snapToGrid w:val="0"/>
              <w:jc w:val="center"/>
              <w:rPr>
                <w:rFonts w:eastAsia="黑体"/>
                <w:szCs w:val="21"/>
              </w:rPr>
            </w:pPr>
            <w:r>
              <w:rPr>
                <w:rFonts w:eastAsia="黑体"/>
                <w:szCs w:val="21"/>
              </w:rPr>
              <w:t>10米×4</w:t>
            </w:r>
          </w:p>
          <w:p>
            <w:pPr>
              <w:widowControl/>
              <w:adjustRightInd w:val="0"/>
              <w:snapToGrid w:val="0"/>
              <w:jc w:val="center"/>
              <w:rPr>
                <w:rFonts w:eastAsia="黑体"/>
                <w:szCs w:val="21"/>
              </w:rPr>
            </w:pPr>
            <w:r>
              <w:rPr>
                <w:rFonts w:eastAsia="黑体"/>
                <w:szCs w:val="21"/>
              </w:rPr>
              <w:t>往返跑</w:t>
            </w:r>
          </w:p>
          <w:p>
            <w:pPr>
              <w:widowControl/>
              <w:adjustRightInd w:val="0"/>
              <w:snapToGrid w:val="0"/>
              <w:jc w:val="center"/>
              <w:rPr>
                <w:kern w:val="0"/>
                <w:szCs w:val="21"/>
              </w:rPr>
            </w:pPr>
            <w:r>
              <w:rPr>
                <w:rFonts w:eastAsia="黑体"/>
                <w:szCs w:val="21"/>
              </w:rPr>
              <w:t>（秒）</w:t>
            </w:r>
          </w:p>
        </w:tc>
        <w:tc>
          <w:tcPr>
            <w:tcW w:w="722" w:type="dxa"/>
            <w:gridSpan w:val="2"/>
            <w:tcBorders>
              <w:right w:val="single" w:color="auto" w:sz="4" w:space="0"/>
            </w:tcBorders>
            <w:vAlign w:val="center"/>
          </w:tcPr>
          <w:p>
            <w:pPr>
              <w:widowControl/>
              <w:adjustRightInd w:val="0"/>
              <w:snapToGrid w:val="0"/>
              <w:ind w:left="-153" w:leftChars="-73" w:right="-204" w:rightChars="-97"/>
              <w:jc w:val="center"/>
              <w:rPr>
                <w:kern w:val="0"/>
                <w:szCs w:val="21"/>
              </w:rPr>
            </w:pPr>
            <w:r>
              <w:rPr>
                <w:szCs w:val="21"/>
              </w:rPr>
              <w:t>14″5</w:t>
            </w:r>
          </w:p>
        </w:tc>
        <w:tc>
          <w:tcPr>
            <w:tcW w:w="722"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13″7</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13″5</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13″3</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12″9</w:t>
            </w:r>
          </w:p>
        </w:tc>
        <w:tc>
          <w:tcPr>
            <w:tcW w:w="723" w:type="dxa"/>
            <w:gridSpan w:val="3"/>
            <w:tcBorders>
              <w:left w:val="single" w:color="auto" w:sz="4" w:space="0"/>
              <w:right w:val="single" w:color="auto" w:sz="4" w:space="0"/>
            </w:tcBorders>
            <w:vAlign w:val="center"/>
          </w:tcPr>
          <w:p>
            <w:pPr>
              <w:widowControl/>
              <w:adjustRightInd w:val="0"/>
              <w:snapToGrid w:val="0"/>
              <w:jc w:val="center"/>
              <w:rPr>
                <w:kern w:val="0"/>
                <w:szCs w:val="21"/>
              </w:rPr>
            </w:pPr>
            <w:r>
              <w:rPr>
                <w:szCs w:val="21"/>
              </w:rPr>
              <w:t>12″7</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12″5</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12″3</w:t>
            </w:r>
          </w:p>
        </w:tc>
        <w:tc>
          <w:tcPr>
            <w:tcW w:w="723" w:type="dxa"/>
            <w:gridSpan w:val="2"/>
            <w:tcBorders>
              <w:left w:val="single" w:color="auto" w:sz="4" w:space="0"/>
              <w:right w:val="single" w:color="auto" w:sz="4" w:space="0"/>
            </w:tcBorders>
            <w:vAlign w:val="center"/>
          </w:tcPr>
          <w:p>
            <w:pPr>
              <w:widowControl/>
              <w:adjustRightInd w:val="0"/>
              <w:snapToGrid w:val="0"/>
              <w:jc w:val="center"/>
              <w:rPr>
                <w:kern w:val="0"/>
                <w:szCs w:val="21"/>
              </w:rPr>
            </w:pPr>
            <w:r>
              <w:rPr>
                <w:szCs w:val="21"/>
              </w:rPr>
              <w:t>11″9</w:t>
            </w:r>
          </w:p>
        </w:tc>
        <w:tc>
          <w:tcPr>
            <w:tcW w:w="830" w:type="dxa"/>
            <w:tcBorders>
              <w:left w:val="single" w:color="auto" w:sz="4" w:space="0"/>
              <w:right w:val="single" w:color="auto" w:sz="4" w:space="0"/>
            </w:tcBorders>
            <w:vAlign w:val="center"/>
          </w:tcPr>
          <w:p>
            <w:pPr>
              <w:widowControl/>
              <w:adjustRightInd w:val="0"/>
              <w:snapToGrid w:val="0"/>
              <w:jc w:val="center"/>
              <w:rPr>
                <w:kern w:val="0"/>
                <w:szCs w:val="21"/>
              </w:rPr>
            </w:pPr>
            <w:r>
              <w:rPr>
                <w:szCs w:val="21"/>
              </w:rPr>
              <w:t>10″3</w:t>
            </w:r>
          </w:p>
        </w:tc>
        <w:tc>
          <w:tcPr>
            <w:tcW w:w="771" w:type="dxa"/>
            <w:gridSpan w:val="2"/>
            <w:vMerge w:val="restart"/>
            <w:tcBorders>
              <w:left w:val="single" w:color="auto" w:sz="4" w:space="0"/>
              <w:right w:val="single" w:color="auto" w:sz="12" w:space="0"/>
            </w:tcBorders>
            <w:vAlign w:val="center"/>
          </w:tcPr>
          <w:p>
            <w:pPr>
              <w:jc w:val="left"/>
              <w:rPr>
                <w:kern w:val="0"/>
                <w:szCs w:val="21"/>
              </w:rPr>
            </w:pPr>
            <w:r>
              <w:rPr>
                <w:rFonts w:eastAsia="仿宋_GB2312"/>
                <w:szCs w:val="21"/>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1945" w:hRule="atLeast"/>
          <w:jc w:val="center"/>
        </w:trPr>
        <w:tc>
          <w:tcPr>
            <w:tcW w:w="1705" w:type="dxa"/>
            <w:vMerge w:val="continue"/>
            <w:vAlign w:val="center"/>
          </w:tcPr>
          <w:p>
            <w:pPr>
              <w:widowControl/>
              <w:adjustRightInd w:val="0"/>
              <w:snapToGrid w:val="0"/>
              <w:jc w:val="center"/>
              <w:rPr>
                <w:rFonts w:eastAsia="黑体"/>
                <w:szCs w:val="21"/>
              </w:rPr>
            </w:pPr>
          </w:p>
        </w:tc>
        <w:tc>
          <w:tcPr>
            <w:tcW w:w="7335" w:type="dxa"/>
            <w:gridSpan w:val="20"/>
            <w:tcBorders>
              <w:bottom w:val="single" w:color="auto" w:sz="4" w:space="0"/>
              <w:right w:val="single" w:color="auto" w:sz="4" w:space="0"/>
            </w:tcBorders>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2.在10米长的跑道上标出起点线和折返线，考生从起点线处听到起跑口令后起跑，在折返线处返回跑向起跑线，到达起跑线时为完成1次往返。连续完成2次往返，记录时间。</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3.考核以完成时间计算成绩。</w:t>
            </w:r>
          </w:p>
          <w:p>
            <w:pPr>
              <w:adjustRightInd w:val="0"/>
              <w:snapToGrid w:val="0"/>
              <w:ind w:firstLine="420" w:firstLineChars="200"/>
              <w:rPr>
                <w:rFonts w:eastAsia="仿宋_GB2312"/>
                <w:szCs w:val="21"/>
              </w:rPr>
            </w:pPr>
            <w:r>
              <w:rPr>
                <w:rFonts w:eastAsia="仿宋_GB2312"/>
                <w:szCs w:val="21"/>
              </w:rPr>
              <w:t>4.得分超出10分的，每递减0.1秒增加1分，最高15分。</w:t>
            </w:r>
          </w:p>
          <w:p>
            <w:pPr>
              <w:adjustRightInd w:val="0"/>
              <w:snapToGrid w:val="0"/>
              <w:ind w:firstLine="420" w:firstLineChars="200"/>
              <w:rPr>
                <w:rFonts w:eastAsia="仿宋_GB2312"/>
                <w:szCs w:val="21"/>
              </w:rPr>
            </w:pPr>
            <w:r>
              <w:rPr>
                <w:rFonts w:eastAsia="仿宋_GB2312"/>
                <w:szCs w:val="21"/>
              </w:rPr>
              <w:t>5.高原地区按照上述内地标准增加1秒。</w:t>
            </w:r>
          </w:p>
        </w:tc>
        <w:tc>
          <w:tcPr>
            <w:tcW w:w="771" w:type="dxa"/>
            <w:gridSpan w:val="2"/>
            <w:vMerge w:val="continue"/>
            <w:tcBorders>
              <w:left w:val="single" w:color="auto" w:sz="4" w:space="0"/>
              <w:right w:val="single" w:color="auto" w:sz="12" w:space="0"/>
            </w:tcBorders>
            <w:vAlign w:val="center"/>
          </w:tcPr>
          <w:p>
            <w:pPr>
              <w:widowControl/>
              <w:jc w:val="lef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716" w:hRule="atLeast"/>
          <w:jc w:val="center"/>
        </w:trPr>
        <w:tc>
          <w:tcPr>
            <w:tcW w:w="1705" w:type="dxa"/>
            <w:vMerge w:val="restart"/>
            <w:vAlign w:val="center"/>
          </w:tcPr>
          <w:p>
            <w:pPr>
              <w:adjustRightInd w:val="0"/>
              <w:snapToGrid w:val="0"/>
              <w:jc w:val="center"/>
              <w:rPr>
                <w:rFonts w:eastAsia="黑体"/>
                <w:szCs w:val="21"/>
              </w:rPr>
            </w:pPr>
            <w:r>
              <w:rPr>
                <w:rFonts w:eastAsia="黑体"/>
                <w:szCs w:val="21"/>
              </w:rPr>
              <w:t>100米跑（秒）</w:t>
            </w:r>
          </w:p>
        </w:tc>
        <w:tc>
          <w:tcPr>
            <w:tcW w:w="722" w:type="dxa"/>
            <w:gridSpan w:val="2"/>
            <w:tcBorders>
              <w:top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17</w:t>
            </w:r>
            <w:r>
              <w:rPr>
                <w:szCs w:val="21"/>
              </w:rPr>
              <w:t>″3</w:t>
            </w:r>
          </w:p>
        </w:tc>
        <w:tc>
          <w:tcPr>
            <w:tcW w:w="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16</w:t>
            </w:r>
            <w:r>
              <w:rPr>
                <w:szCs w:val="21"/>
              </w:rPr>
              <w:t>″4</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szCs w:val="21"/>
              </w:rPr>
              <w:t>16″1</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15</w:t>
            </w:r>
            <w:r>
              <w:rPr>
                <w:szCs w:val="21"/>
              </w:rPr>
              <w:t>″8</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15</w:t>
            </w:r>
            <w:r>
              <w:rPr>
                <w:szCs w:val="21"/>
              </w:rPr>
              <w:t>″5</w:t>
            </w:r>
          </w:p>
        </w:tc>
        <w:tc>
          <w:tcPr>
            <w:tcW w:w="7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15</w:t>
            </w:r>
            <w:r>
              <w:rPr>
                <w:szCs w:val="21"/>
              </w:rPr>
              <w:t>″2</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14</w:t>
            </w:r>
            <w:r>
              <w:rPr>
                <w:szCs w:val="21"/>
              </w:rPr>
              <w:t>″9</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14</w:t>
            </w:r>
            <w:r>
              <w:rPr>
                <w:szCs w:val="21"/>
              </w:rPr>
              <w:t>″6</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14</w:t>
            </w:r>
            <w:r>
              <w:rPr>
                <w:szCs w:val="21"/>
              </w:rPr>
              <w:t>″3</w:t>
            </w: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eastAsia="仿宋_GB2312"/>
                <w:szCs w:val="21"/>
              </w:rPr>
            </w:pPr>
            <w:r>
              <w:rPr>
                <w:rFonts w:eastAsia="仿宋_GB2312"/>
                <w:szCs w:val="21"/>
              </w:rPr>
              <w:t>14</w:t>
            </w:r>
            <w:r>
              <w:rPr>
                <w:szCs w:val="21"/>
              </w:rPr>
              <w:t>″0</w:t>
            </w:r>
          </w:p>
        </w:tc>
        <w:tc>
          <w:tcPr>
            <w:tcW w:w="771" w:type="dxa"/>
            <w:gridSpan w:val="2"/>
            <w:vMerge w:val="continue"/>
            <w:tcBorders>
              <w:left w:val="single" w:color="auto" w:sz="4" w:space="0"/>
              <w:right w:val="single" w:color="auto" w:sz="12" w:space="0"/>
            </w:tcBorders>
            <w:vAlign w:val="center"/>
          </w:tcPr>
          <w:p>
            <w:pPr>
              <w:widowControl/>
              <w:jc w:val="lef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1973" w:hRule="atLeast"/>
          <w:jc w:val="center"/>
        </w:trPr>
        <w:tc>
          <w:tcPr>
            <w:tcW w:w="1705" w:type="dxa"/>
            <w:vMerge w:val="continue"/>
            <w:vAlign w:val="center"/>
          </w:tcPr>
          <w:p>
            <w:pPr>
              <w:adjustRightInd w:val="0"/>
              <w:snapToGrid w:val="0"/>
              <w:jc w:val="center"/>
              <w:rPr>
                <w:rFonts w:eastAsia="黑体"/>
                <w:szCs w:val="21"/>
              </w:rPr>
            </w:pPr>
          </w:p>
        </w:tc>
        <w:tc>
          <w:tcPr>
            <w:tcW w:w="7335" w:type="dxa"/>
            <w:gridSpan w:val="20"/>
            <w:tcBorders>
              <w:top w:val="single" w:color="auto" w:sz="4" w:space="0"/>
              <w:bottom w:val="single" w:color="auto" w:sz="4" w:space="0"/>
              <w:right w:val="single" w:color="auto" w:sz="4" w:space="0"/>
            </w:tcBorders>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2.在100米长直线跑道上标出起点线和终点线，考生从起点线处听到起跑口令后起跑，通过终点线记录时间。</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3.抢跑犯规，重新组织起跑；跑出本道或用其他方式干扰、阻碍他人者不记录成绩。</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4.得分超出10分的，每递减0.3秒增加1分，最高15分。</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5.高原地区按照上述内地标准增加1秒。</w:t>
            </w:r>
          </w:p>
        </w:tc>
        <w:tc>
          <w:tcPr>
            <w:tcW w:w="771" w:type="dxa"/>
            <w:gridSpan w:val="2"/>
            <w:vMerge w:val="continue"/>
            <w:tcBorders>
              <w:left w:val="single" w:color="auto" w:sz="4" w:space="0"/>
              <w:right w:val="single" w:color="auto" w:sz="12" w:space="0"/>
            </w:tcBorders>
            <w:vAlign w:val="center"/>
          </w:tcPr>
          <w:p>
            <w:pPr>
              <w:widowControl/>
              <w:jc w:val="lef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9" w:type="dxa"/>
          <w:trHeight w:val="1559" w:hRule="atLeast"/>
          <w:jc w:val="center"/>
        </w:trPr>
        <w:tc>
          <w:tcPr>
            <w:tcW w:w="1705" w:type="dxa"/>
            <w:tcBorders>
              <w:bottom w:val="single" w:color="auto" w:sz="12" w:space="0"/>
            </w:tcBorders>
            <w:vAlign w:val="center"/>
          </w:tcPr>
          <w:p>
            <w:pPr>
              <w:adjustRightInd w:val="0"/>
              <w:snapToGrid w:val="0"/>
              <w:jc w:val="center"/>
              <w:rPr>
                <w:rFonts w:eastAsia="仿宋_GB2312"/>
                <w:szCs w:val="21"/>
              </w:rPr>
            </w:pPr>
            <w:r>
              <w:rPr>
                <w:rFonts w:eastAsia="黑体"/>
                <w:szCs w:val="21"/>
              </w:rPr>
              <w:t>备    注</w:t>
            </w:r>
          </w:p>
        </w:tc>
        <w:tc>
          <w:tcPr>
            <w:tcW w:w="8106" w:type="dxa"/>
            <w:gridSpan w:val="22"/>
            <w:tcBorders>
              <w:bottom w:val="single" w:color="auto" w:sz="12" w:space="0"/>
              <w:right w:val="single" w:color="auto" w:sz="12" w:space="0"/>
            </w:tcBorders>
            <w:vAlign w:val="center"/>
          </w:tcPr>
          <w:p>
            <w:pPr>
              <w:adjustRightInd w:val="0"/>
              <w:snapToGrid w:val="0"/>
              <w:spacing w:line="240" w:lineRule="exact"/>
              <w:ind w:firstLine="420"/>
              <w:jc w:val="left"/>
              <w:textAlignment w:val="center"/>
              <w:rPr>
                <w:rFonts w:eastAsia="仿宋_GB2312"/>
                <w:szCs w:val="21"/>
              </w:rPr>
            </w:pPr>
            <w:r>
              <w:rPr>
                <w:rFonts w:eastAsia="仿宋_GB2312"/>
                <w:szCs w:val="21"/>
              </w:rPr>
              <w:t>1.总成绩最高40分，</w:t>
            </w:r>
            <w:r>
              <w:rPr>
                <w:rFonts w:hint="eastAsia" w:eastAsia="仿宋_GB2312"/>
                <w:szCs w:val="21"/>
              </w:rPr>
              <w:t>单项未取得有效成绩的不予招录。</w:t>
            </w:r>
          </w:p>
          <w:p>
            <w:pPr>
              <w:adjustRightInd w:val="0"/>
              <w:snapToGrid w:val="0"/>
              <w:spacing w:line="240" w:lineRule="exact"/>
              <w:ind w:firstLine="420"/>
              <w:jc w:val="left"/>
              <w:textAlignment w:val="center"/>
              <w:rPr>
                <w:rFonts w:eastAsia="仿宋_GB2312"/>
                <w:szCs w:val="21"/>
              </w:rPr>
            </w:pPr>
            <w:r>
              <w:rPr>
                <w:rFonts w:eastAsia="仿宋_GB2312"/>
                <w:szCs w:val="21"/>
              </w:rPr>
              <w:t>2.高原地区应在海拔4000米以下集中组织体能测试。</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3.高原地区消防员招录中“原地跳高、立定跳远、单杠引体向上、俯卧撑”按照内地标准执行。</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4.测试项目及标准中“以上”“以下”均含本级、本数。</w:t>
            </w:r>
          </w:p>
        </w:tc>
      </w:tr>
    </w:tbl>
    <w:p>
      <w:pPr>
        <w:spacing w:line="240" w:lineRule="exact"/>
        <w:rPr>
          <w:rFonts w:eastAsia="黑体"/>
          <w:sz w:val="32"/>
          <w:szCs w:val="32"/>
        </w:rPr>
      </w:pPr>
    </w:p>
    <w:tbl>
      <w:tblPr>
        <w:tblStyle w:val="6"/>
        <w:tblW w:w="98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30"/>
        <w:gridCol w:w="5151"/>
        <w:gridCol w:w="679"/>
        <w:gridCol w:w="679"/>
        <w:gridCol w:w="679"/>
        <w:gridCol w:w="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atLeast"/>
          <w:jc w:val="center"/>
        </w:trPr>
        <w:tc>
          <w:tcPr>
            <w:tcW w:w="9898" w:type="dxa"/>
            <w:gridSpan w:val="6"/>
            <w:vAlign w:val="center"/>
          </w:tcPr>
          <w:p>
            <w:pPr>
              <w:adjustRightInd w:val="0"/>
              <w:snapToGrid w:val="0"/>
              <w:jc w:val="center"/>
              <w:rPr>
                <w:rFonts w:eastAsia="黑体"/>
                <w:szCs w:val="21"/>
              </w:rPr>
            </w:pPr>
            <w:r>
              <w:rPr>
                <w:rFonts w:eastAsia="黑体"/>
                <w:szCs w:val="21"/>
              </w:rPr>
              <w:t>岗位适应性测试项目及标准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0" w:hRule="atLeast"/>
          <w:jc w:val="center"/>
        </w:trPr>
        <w:tc>
          <w:tcPr>
            <w:tcW w:w="2030" w:type="dxa"/>
            <w:vAlign w:val="center"/>
          </w:tcPr>
          <w:p>
            <w:pPr>
              <w:adjustRightInd w:val="0"/>
              <w:snapToGrid w:val="0"/>
              <w:jc w:val="center"/>
              <w:rPr>
                <w:rFonts w:eastAsia="黑体"/>
                <w:sz w:val="22"/>
                <w:szCs w:val="22"/>
              </w:rPr>
            </w:pPr>
            <w:r>
              <w:rPr>
                <w:rFonts w:eastAsia="黑体"/>
                <w:sz w:val="22"/>
                <w:szCs w:val="22"/>
              </w:rPr>
              <w:t>项    目</w:t>
            </w:r>
          </w:p>
        </w:tc>
        <w:tc>
          <w:tcPr>
            <w:tcW w:w="5151" w:type="dxa"/>
            <w:vAlign w:val="center"/>
          </w:tcPr>
          <w:p>
            <w:pPr>
              <w:adjustRightInd w:val="0"/>
              <w:snapToGrid w:val="0"/>
              <w:jc w:val="center"/>
              <w:rPr>
                <w:rFonts w:eastAsia="黑体"/>
                <w:sz w:val="22"/>
                <w:szCs w:val="22"/>
              </w:rPr>
            </w:pPr>
            <w:r>
              <w:rPr>
                <w:rFonts w:eastAsia="黑体"/>
                <w:sz w:val="22"/>
                <w:szCs w:val="22"/>
              </w:rPr>
              <w:t>测试办法</w:t>
            </w:r>
          </w:p>
        </w:tc>
        <w:tc>
          <w:tcPr>
            <w:tcW w:w="679" w:type="dxa"/>
            <w:vAlign w:val="center"/>
          </w:tcPr>
          <w:p>
            <w:pPr>
              <w:adjustRightInd w:val="0"/>
              <w:snapToGrid w:val="0"/>
              <w:jc w:val="center"/>
              <w:rPr>
                <w:rFonts w:eastAsia="黑体"/>
                <w:sz w:val="22"/>
                <w:szCs w:val="22"/>
              </w:rPr>
            </w:pPr>
            <w:r>
              <w:rPr>
                <w:rFonts w:eastAsia="黑体"/>
                <w:sz w:val="22"/>
                <w:szCs w:val="22"/>
              </w:rPr>
              <w:t>优秀</w:t>
            </w:r>
          </w:p>
        </w:tc>
        <w:tc>
          <w:tcPr>
            <w:tcW w:w="679" w:type="dxa"/>
            <w:vAlign w:val="center"/>
          </w:tcPr>
          <w:p>
            <w:pPr>
              <w:adjustRightInd w:val="0"/>
              <w:snapToGrid w:val="0"/>
              <w:jc w:val="center"/>
              <w:rPr>
                <w:rFonts w:eastAsia="黑体"/>
                <w:sz w:val="22"/>
                <w:szCs w:val="22"/>
              </w:rPr>
            </w:pPr>
            <w:r>
              <w:rPr>
                <w:rFonts w:eastAsia="黑体"/>
                <w:sz w:val="22"/>
                <w:szCs w:val="22"/>
              </w:rPr>
              <w:t>良好</w:t>
            </w:r>
          </w:p>
        </w:tc>
        <w:tc>
          <w:tcPr>
            <w:tcW w:w="679" w:type="dxa"/>
            <w:vAlign w:val="center"/>
          </w:tcPr>
          <w:p>
            <w:pPr>
              <w:adjustRightInd w:val="0"/>
              <w:snapToGrid w:val="0"/>
              <w:jc w:val="center"/>
              <w:rPr>
                <w:rFonts w:eastAsia="黑体"/>
                <w:sz w:val="22"/>
                <w:szCs w:val="22"/>
              </w:rPr>
            </w:pPr>
            <w:r>
              <w:rPr>
                <w:rFonts w:eastAsia="黑体"/>
                <w:sz w:val="22"/>
                <w:szCs w:val="22"/>
              </w:rPr>
              <w:t>中等</w:t>
            </w:r>
          </w:p>
        </w:tc>
        <w:tc>
          <w:tcPr>
            <w:tcW w:w="680" w:type="dxa"/>
            <w:vAlign w:val="center"/>
          </w:tcPr>
          <w:p>
            <w:pPr>
              <w:adjustRightInd w:val="0"/>
              <w:snapToGrid w:val="0"/>
              <w:jc w:val="center"/>
              <w:rPr>
                <w:rFonts w:eastAsia="黑体"/>
                <w:sz w:val="22"/>
                <w:szCs w:val="22"/>
              </w:rPr>
            </w:pPr>
            <w:r>
              <w:rPr>
                <w:rFonts w:eastAsia="黑体"/>
                <w:sz w:val="22"/>
                <w:szCs w:val="22"/>
              </w:rPr>
              <w:t>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22" w:hRule="atLeast"/>
          <w:jc w:val="center"/>
        </w:trPr>
        <w:tc>
          <w:tcPr>
            <w:tcW w:w="2030" w:type="dxa"/>
            <w:vAlign w:val="center"/>
          </w:tcPr>
          <w:p>
            <w:pPr>
              <w:adjustRightInd w:val="0"/>
              <w:snapToGrid w:val="0"/>
              <w:jc w:val="center"/>
              <w:rPr>
                <w:rFonts w:eastAsia="黑体"/>
                <w:szCs w:val="21"/>
              </w:rPr>
            </w:pPr>
            <w:r>
              <w:rPr>
                <w:rFonts w:eastAsia="黑体"/>
                <w:szCs w:val="21"/>
              </w:rPr>
              <w:t>负重登六楼</w:t>
            </w:r>
          </w:p>
        </w:tc>
        <w:tc>
          <w:tcPr>
            <w:tcW w:w="5151" w:type="dxa"/>
            <w:vAlign w:val="center"/>
          </w:tcPr>
          <w:p>
            <w:pPr>
              <w:adjustRightInd w:val="0"/>
              <w:snapToGrid w:val="0"/>
              <w:rPr>
                <w:rFonts w:eastAsia="仿宋_GB2312"/>
                <w:szCs w:val="21"/>
              </w:rPr>
            </w:pPr>
            <w:r>
              <w:rPr>
                <w:rFonts w:eastAsia="仿宋_GB2312"/>
                <w:szCs w:val="21"/>
              </w:rPr>
              <w:t xml:space="preserve">    考生佩戴消防头盔及消防安全腰带，手提两盘65毫米口径水带，从一楼楼梯口登至六楼楼梯口。记录时间。</w:t>
            </w:r>
          </w:p>
        </w:tc>
        <w:tc>
          <w:tcPr>
            <w:tcW w:w="679" w:type="dxa"/>
            <w:vAlign w:val="center"/>
          </w:tcPr>
          <w:p>
            <w:pPr>
              <w:adjustRightInd w:val="0"/>
              <w:snapToGrid w:val="0"/>
              <w:jc w:val="center"/>
              <w:rPr>
                <w:rFonts w:eastAsia="仿宋_GB2312"/>
                <w:szCs w:val="21"/>
              </w:rPr>
            </w:pPr>
            <w:r>
              <w:rPr>
                <w:rFonts w:eastAsia="仿宋_GB2312"/>
                <w:szCs w:val="21"/>
              </w:rPr>
              <w:t>1′15″</w:t>
            </w:r>
          </w:p>
        </w:tc>
        <w:tc>
          <w:tcPr>
            <w:tcW w:w="679" w:type="dxa"/>
            <w:vAlign w:val="center"/>
          </w:tcPr>
          <w:p>
            <w:pPr>
              <w:adjustRightInd w:val="0"/>
              <w:snapToGrid w:val="0"/>
              <w:jc w:val="center"/>
              <w:rPr>
                <w:rFonts w:eastAsia="仿宋_GB2312"/>
                <w:szCs w:val="21"/>
              </w:rPr>
            </w:pPr>
            <w:r>
              <w:rPr>
                <w:rFonts w:eastAsia="仿宋_GB2312"/>
                <w:szCs w:val="21"/>
              </w:rPr>
              <w:t>1′30″</w:t>
            </w:r>
          </w:p>
        </w:tc>
        <w:tc>
          <w:tcPr>
            <w:tcW w:w="679" w:type="dxa"/>
            <w:vAlign w:val="center"/>
          </w:tcPr>
          <w:p>
            <w:pPr>
              <w:adjustRightInd w:val="0"/>
              <w:snapToGrid w:val="0"/>
              <w:jc w:val="center"/>
              <w:rPr>
                <w:rFonts w:eastAsia="仿宋_GB2312"/>
                <w:szCs w:val="21"/>
              </w:rPr>
            </w:pPr>
            <w:r>
              <w:rPr>
                <w:rFonts w:eastAsia="仿宋_GB2312"/>
                <w:szCs w:val="21"/>
              </w:rPr>
              <w:t>1′40″</w:t>
            </w:r>
          </w:p>
        </w:tc>
        <w:tc>
          <w:tcPr>
            <w:tcW w:w="680" w:type="dxa"/>
            <w:vAlign w:val="center"/>
          </w:tcPr>
          <w:p>
            <w:pPr>
              <w:adjustRightInd w:val="0"/>
              <w:snapToGrid w:val="0"/>
              <w:jc w:val="center"/>
              <w:rPr>
                <w:rFonts w:eastAsia="仿宋_GB2312"/>
                <w:szCs w:val="21"/>
              </w:rPr>
            </w:pPr>
            <w:r>
              <w:rPr>
                <w:rFonts w:eastAsia="仿宋_GB2312"/>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51" w:hRule="atLeast"/>
          <w:jc w:val="center"/>
        </w:trPr>
        <w:tc>
          <w:tcPr>
            <w:tcW w:w="2030" w:type="dxa"/>
            <w:vAlign w:val="center"/>
          </w:tcPr>
          <w:p>
            <w:pPr>
              <w:adjustRightInd w:val="0"/>
              <w:snapToGrid w:val="0"/>
              <w:jc w:val="center"/>
              <w:rPr>
                <w:rFonts w:eastAsia="黑体"/>
                <w:szCs w:val="21"/>
              </w:rPr>
            </w:pPr>
            <w:r>
              <w:rPr>
                <w:rFonts w:eastAsia="黑体"/>
                <w:szCs w:val="21"/>
              </w:rPr>
              <w:t>原地攀登六米拉梯</w:t>
            </w:r>
          </w:p>
        </w:tc>
        <w:tc>
          <w:tcPr>
            <w:tcW w:w="5151" w:type="dxa"/>
            <w:vAlign w:val="center"/>
          </w:tcPr>
          <w:p>
            <w:pPr>
              <w:adjustRightInd w:val="0"/>
              <w:snapToGrid w:val="0"/>
              <w:rPr>
                <w:rFonts w:eastAsia="仿宋_GB2312"/>
                <w:szCs w:val="21"/>
              </w:rPr>
            </w:pPr>
            <w:r>
              <w:rPr>
                <w:rFonts w:eastAsia="仿宋_GB2312"/>
                <w:szCs w:val="21"/>
              </w:rPr>
              <w:t xml:space="preserve">    考生穿着全套消防员防护装具，扣好安全绳，从原地逐级攀登架设在训练塔窗口的六米拉梯，并进入二楼平台。记录时间。</w:t>
            </w:r>
          </w:p>
        </w:tc>
        <w:tc>
          <w:tcPr>
            <w:tcW w:w="679" w:type="dxa"/>
            <w:vAlign w:val="center"/>
          </w:tcPr>
          <w:p>
            <w:pPr>
              <w:adjustRightInd w:val="0"/>
              <w:snapToGrid w:val="0"/>
              <w:jc w:val="center"/>
              <w:rPr>
                <w:rFonts w:eastAsia="仿宋_GB2312"/>
                <w:szCs w:val="21"/>
              </w:rPr>
            </w:pPr>
            <w:r>
              <w:rPr>
                <w:rFonts w:eastAsia="仿宋_GB2312"/>
                <w:szCs w:val="21"/>
              </w:rPr>
              <w:t>10″</w:t>
            </w:r>
          </w:p>
        </w:tc>
        <w:tc>
          <w:tcPr>
            <w:tcW w:w="679" w:type="dxa"/>
            <w:vAlign w:val="center"/>
          </w:tcPr>
          <w:p>
            <w:pPr>
              <w:adjustRightInd w:val="0"/>
              <w:snapToGrid w:val="0"/>
              <w:jc w:val="center"/>
              <w:rPr>
                <w:rFonts w:eastAsia="仿宋_GB2312"/>
                <w:szCs w:val="21"/>
              </w:rPr>
            </w:pPr>
            <w:r>
              <w:rPr>
                <w:rFonts w:eastAsia="仿宋_GB2312"/>
                <w:szCs w:val="21"/>
              </w:rPr>
              <w:t>15″</w:t>
            </w:r>
          </w:p>
        </w:tc>
        <w:tc>
          <w:tcPr>
            <w:tcW w:w="679" w:type="dxa"/>
            <w:vAlign w:val="center"/>
          </w:tcPr>
          <w:p>
            <w:pPr>
              <w:adjustRightInd w:val="0"/>
              <w:snapToGrid w:val="0"/>
              <w:jc w:val="center"/>
              <w:rPr>
                <w:rFonts w:eastAsia="仿宋_GB2312"/>
                <w:szCs w:val="21"/>
              </w:rPr>
            </w:pPr>
            <w:r>
              <w:rPr>
                <w:rFonts w:eastAsia="仿宋_GB2312"/>
                <w:szCs w:val="21"/>
              </w:rPr>
              <w:t>20″</w:t>
            </w:r>
          </w:p>
        </w:tc>
        <w:tc>
          <w:tcPr>
            <w:tcW w:w="680" w:type="dxa"/>
            <w:vAlign w:val="center"/>
          </w:tcPr>
          <w:p>
            <w:pPr>
              <w:adjustRightInd w:val="0"/>
              <w:snapToGrid w:val="0"/>
              <w:jc w:val="center"/>
              <w:rPr>
                <w:rFonts w:eastAsia="仿宋_GB2312"/>
                <w:szCs w:val="21"/>
              </w:rPr>
            </w:pPr>
            <w:r>
              <w:rPr>
                <w:rFonts w:eastAsia="仿宋_GB2312"/>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55" w:hRule="atLeast"/>
          <w:jc w:val="center"/>
        </w:trPr>
        <w:tc>
          <w:tcPr>
            <w:tcW w:w="2030" w:type="dxa"/>
            <w:vAlign w:val="center"/>
          </w:tcPr>
          <w:p>
            <w:pPr>
              <w:adjustRightInd w:val="0"/>
              <w:snapToGrid w:val="0"/>
              <w:jc w:val="center"/>
              <w:rPr>
                <w:rFonts w:eastAsia="黑体"/>
                <w:szCs w:val="21"/>
              </w:rPr>
            </w:pPr>
            <w:r>
              <w:rPr>
                <w:rFonts w:eastAsia="黑体"/>
                <w:szCs w:val="21"/>
              </w:rPr>
              <w:t>黑暗环境搜寻</w:t>
            </w:r>
          </w:p>
        </w:tc>
        <w:tc>
          <w:tcPr>
            <w:tcW w:w="5151" w:type="dxa"/>
            <w:vAlign w:val="center"/>
          </w:tcPr>
          <w:p>
            <w:pPr>
              <w:adjustRightInd w:val="0"/>
              <w:snapToGrid w:val="0"/>
              <w:rPr>
                <w:rFonts w:eastAsia="仿宋_GB2312"/>
                <w:szCs w:val="21"/>
              </w:rPr>
            </w:pPr>
            <w:r>
              <w:rPr>
                <w:rFonts w:eastAsia="仿宋_GB2312"/>
                <w:szCs w:val="21"/>
              </w:rPr>
              <w:t xml:space="preserve">    考生穿着全套消防员防护装具，从长度为20米的封闭式L型通道一侧进入，以双手双膝匍匐前进的姿势从L型通道另一侧穿出。记录时间。</w:t>
            </w:r>
          </w:p>
        </w:tc>
        <w:tc>
          <w:tcPr>
            <w:tcW w:w="679" w:type="dxa"/>
            <w:vAlign w:val="center"/>
          </w:tcPr>
          <w:p>
            <w:pPr>
              <w:adjustRightInd w:val="0"/>
              <w:snapToGrid w:val="0"/>
              <w:jc w:val="center"/>
              <w:rPr>
                <w:rFonts w:eastAsia="仿宋_GB2312"/>
                <w:szCs w:val="21"/>
              </w:rPr>
            </w:pPr>
            <w:r>
              <w:rPr>
                <w:rFonts w:eastAsia="仿宋_GB2312"/>
                <w:szCs w:val="21"/>
              </w:rPr>
              <w:t>38″</w:t>
            </w:r>
          </w:p>
        </w:tc>
        <w:tc>
          <w:tcPr>
            <w:tcW w:w="679" w:type="dxa"/>
            <w:vAlign w:val="center"/>
          </w:tcPr>
          <w:p>
            <w:pPr>
              <w:adjustRightInd w:val="0"/>
              <w:snapToGrid w:val="0"/>
              <w:jc w:val="center"/>
              <w:rPr>
                <w:rFonts w:eastAsia="仿宋_GB2312"/>
                <w:szCs w:val="21"/>
              </w:rPr>
            </w:pPr>
            <w:r>
              <w:rPr>
                <w:rFonts w:eastAsia="仿宋_GB2312"/>
                <w:szCs w:val="21"/>
              </w:rPr>
              <w:t>40″</w:t>
            </w:r>
          </w:p>
        </w:tc>
        <w:tc>
          <w:tcPr>
            <w:tcW w:w="679" w:type="dxa"/>
            <w:vAlign w:val="center"/>
          </w:tcPr>
          <w:p>
            <w:pPr>
              <w:adjustRightInd w:val="0"/>
              <w:snapToGrid w:val="0"/>
              <w:jc w:val="center"/>
              <w:rPr>
                <w:rFonts w:eastAsia="仿宋_GB2312"/>
                <w:szCs w:val="21"/>
              </w:rPr>
            </w:pPr>
            <w:r>
              <w:rPr>
                <w:rFonts w:eastAsia="仿宋_GB2312"/>
                <w:szCs w:val="21"/>
              </w:rPr>
              <w:t>42″</w:t>
            </w:r>
          </w:p>
        </w:tc>
        <w:tc>
          <w:tcPr>
            <w:tcW w:w="680" w:type="dxa"/>
            <w:vAlign w:val="center"/>
          </w:tcPr>
          <w:p>
            <w:pPr>
              <w:adjustRightInd w:val="0"/>
              <w:snapToGrid w:val="0"/>
              <w:jc w:val="center"/>
              <w:rPr>
                <w:rFonts w:eastAsia="仿宋_GB2312"/>
                <w:szCs w:val="21"/>
              </w:rPr>
            </w:pPr>
            <w:r>
              <w:rPr>
                <w:rFonts w:eastAsia="仿宋_GB2312"/>
                <w:szCs w:val="21"/>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87" w:hRule="atLeast"/>
          <w:jc w:val="center"/>
        </w:trPr>
        <w:tc>
          <w:tcPr>
            <w:tcW w:w="2030" w:type="dxa"/>
            <w:vAlign w:val="center"/>
          </w:tcPr>
          <w:p>
            <w:pPr>
              <w:adjustRightInd w:val="0"/>
              <w:snapToGrid w:val="0"/>
              <w:jc w:val="center"/>
              <w:rPr>
                <w:rFonts w:eastAsia="黑体"/>
                <w:szCs w:val="21"/>
              </w:rPr>
            </w:pPr>
            <w:r>
              <w:rPr>
                <w:rFonts w:eastAsia="黑体"/>
                <w:szCs w:val="21"/>
              </w:rPr>
              <w:t>拖</w:t>
            </w:r>
            <w:r>
              <w:rPr>
                <w:rFonts w:hint="eastAsia" w:eastAsia="黑体"/>
                <w:szCs w:val="21"/>
              </w:rPr>
              <w:t xml:space="preserve"> </w:t>
            </w:r>
            <w:r>
              <w:rPr>
                <w:rFonts w:eastAsia="黑体"/>
                <w:szCs w:val="21"/>
              </w:rPr>
              <w:t xml:space="preserve">   拽</w:t>
            </w:r>
          </w:p>
        </w:tc>
        <w:tc>
          <w:tcPr>
            <w:tcW w:w="5151" w:type="dxa"/>
            <w:vAlign w:val="center"/>
          </w:tcPr>
          <w:p>
            <w:pPr>
              <w:adjustRightInd w:val="0"/>
              <w:snapToGrid w:val="0"/>
              <w:rPr>
                <w:rFonts w:eastAsia="仿宋_GB2312"/>
                <w:szCs w:val="21"/>
              </w:rPr>
            </w:pPr>
            <w:r>
              <w:rPr>
                <w:rFonts w:eastAsia="仿宋_GB2312"/>
                <w:szCs w:val="21"/>
              </w:rPr>
              <w:t xml:space="preserve">    考生佩戴消防头盔及消防安全腰带，将60公斤重的假人从起点线拖拽至距离起点线10米处的终点线（假人整体越过终点线）。记录时间。</w:t>
            </w:r>
          </w:p>
        </w:tc>
        <w:tc>
          <w:tcPr>
            <w:tcW w:w="679" w:type="dxa"/>
            <w:vAlign w:val="center"/>
          </w:tcPr>
          <w:p>
            <w:pPr>
              <w:adjustRightInd w:val="0"/>
              <w:snapToGrid w:val="0"/>
              <w:jc w:val="center"/>
              <w:rPr>
                <w:rFonts w:eastAsia="仿宋_GB2312"/>
                <w:szCs w:val="21"/>
              </w:rPr>
            </w:pPr>
            <w:r>
              <w:rPr>
                <w:rFonts w:eastAsia="仿宋_GB2312"/>
                <w:szCs w:val="21"/>
              </w:rPr>
              <w:t>12″</w:t>
            </w:r>
          </w:p>
        </w:tc>
        <w:tc>
          <w:tcPr>
            <w:tcW w:w="679" w:type="dxa"/>
            <w:vAlign w:val="center"/>
          </w:tcPr>
          <w:p>
            <w:pPr>
              <w:adjustRightInd w:val="0"/>
              <w:snapToGrid w:val="0"/>
              <w:jc w:val="center"/>
              <w:rPr>
                <w:rFonts w:eastAsia="仿宋_GB2312"/>
                <w:szCs w:val="21"/>
              </w:rPr>
            </w:pPr>
            <w:r>
              <w:rPr>
                <w:rFonts w:eastAsia="仿宋_GB2312"/>
                <w:szCs w:val="21"/>
              </w:rPr>
              <w:t>13″</w:t>
            </w:r>
          </w:p>
        </w:tc>
        <w:tc>
          <w:tcPr>
            <w:tcW w:w="679" w:type="dxa"/>
            <w:vAlign w:val="center"/>
          </w:tcPr>
          <w:p>
            <w:pPr>
              <w:adjustRightInd w:val="0"/>
              <w:snapToGrid w:val="0"/>
              <w:jc w:val="center"/>
              <w:rPr>
                <w:rFonts w:eastAsia="仿宋_GB2312"/>
                <w:szCs w:val="21"/>
              </w:rPr>
            </w:pPr>
            <w:r>
              <w:rPr>
                <w:rFonts w:eastAsia="仿宋_GB2312"/>
                <w:szCs w:val="21"/>
              </w:rPr>
              <w:t>14″</w:t>
            </w:r>
          </w:p>
        </w:tc>
        <w:tc>
          <w:tcPr>
            <w:tcW w:w="680" w:type="dxa"/>
            <w:vAlign w:val="center"/>
          </w:tcPr>
          <w:p>
            <w:pPr>
              <w:adjustRightInd w:val="0"/>
              <w:snapToGrid w:val="0"/>
              <w:jc w:val="center"/>
              <w:rPr>
                <w:rFonts w:eastAsia="仿宋_GB2312"/>
                <w:szCs w:val="21"/>
              </w:rPr>
            </w:pPr>
            <w:r>
              <w:rPr>
                <w:rFonts w:eastAsia="仿宋_GB2312"/>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31" w:hRule="atLeast"/>
          <w:jc w:val="center"/>
        </w:trPr>
        <w:tc>
          <w:tcPr>
            <w:tcW w:w="2030" w:type="dxa"/>
            <w:vAlign w:val="center"/>
          </w:tcPr>
          <w:p>
            <w:pPr>
              <w:adjustRightInd w:val="0"/>
              <w:snapToGrid w:val="0"/>
              <w:jc w:val="center"/>
              <w:rPr>
                <w:rFonts w:eastAsia="黑体"/>
                <w:szCs w:val="21"/>
              </w:rPr>
            </w:pPr>
            <w:r>
              <w:rPr>
                <w:rFonts w:eastAsia="黑体"/>
                <w:szCs w:val="21"/>
              </w:rPr>
              <w:t>备    注</w:t>
            </w:r>
          </w:p>
        </w:tc>
        <w:tc>
          <w:tcPr>
            <w:tcW w:w="7868" w:type="dxa"/>
            <w:gridSpan w:val="5"/>
            <w:vAlign w:val="center"/>
          </w:tcPr>
          <w:p>
            <w:pPr>
              <w:adjustRightInd w:val="0"/>
              <w:snapToGrid w:val="0"/>
              <w:ind w:firstLine="420" w:firstLineChars="200"/>
              <w:rPr>
                <w:rFonts w:eastAsia="仿宋_GB2312"/>
                <w:szCs w:val="21"/>
              </w:rPr>
            </w:pPr>
            <w:r>
              <w:rPr>
                <w:rFonts w:eastAsia="仿宋_GB2312"/>
                <w:szCs w:val="21"/>
              </w:rPr>
              <w:t>1.单项成绩</w:t>
            </w:r>
            <w:r>
              <w:rPr>
                <w:rFonts w:hint="eastAsia" w:eastAsia="仿宋_GB2312"/>
                <w:szCs w:val="21"/>
              </w:rPr>
              <w:t>未达到</w:t>
            </w:r>
            <w:r>
              <w:rPr>
                <w:rFonts w:eastAsia="仿宋_GB2312"/>
                <w:szCs w:val="21"/>
              </w:rPr>
              <w:t>“一般”标准</w:t>
            </w:r>
            <w:r>
              <w:rPr>
                <w:rFonts w:hint="eastAsia" w:eastAsia="仿宋_GB2312"/>
                <w:szCs w:val="21"/>
              </w:rPr>
              <w:t>的不予招录。</w:t>
            </w:r>
          </w:p>
          <w:p>
            <w:pPr>
              <w:adjustRightInd w:val="0"/>
              <w:snapToGrid w:val="0"/>
              <w:ind w:firstLine="420" w:firstLineChars="200"/>
              <w:jc w:val="left"/>
              <w:rPr>
                <w:rFonts w:eastAsia="仿宋_GB2312"/>
                <w:szCs w:val="21"/>
              </w:rPr>
            </w:pPr>
            <w:r>
              <w:rPr>
                <w:rFonts w:eastAsia="仿宋_GB2312"/>
                <w:szCs w:val="21"/>
              </w:rPr>
              <w:t>2.高原地区应在海拔4000米以下集中组织适应性测试，海拔2000-3000米，每增加100米高度标准递增3秒，3100-4000米，每增加100米高度标准递增4秒。</w:t>
            </w:r>
          </w:p>
        </w:tc>
      </w:tr>
    </w:tbl>
    <w:p>
      <w:pPr>
        <w:spacing w:line="240" w:lineRule="exact"/>
        <w:rPr>
          <w:rFonts w:eastAsia="黑体"/>
          <w:sz w:val="32"/>
          <w:szCs w:val="32"/>
        </w:rPr>
      </w:pPr>
    </w:p>
    <w:p>
      <w:pPr>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4</w:t>
      </w:r>
    </w:p>
    <w:p>
      <w:pPr>
        <w:spacing w:line="400" w:lineRule="exact"/>
        <w:jc w:val="left"/>
        <w:rPr>
          <w:rFonts w:ascii="Times New Roman" w:hAnsi="Times New Roman" w:eastAsia="黑体"/>
          <w:sz w:val="32"/>
          <w:szCs w:val="32"/>
        </w:rPr>
      </w:pPr>
    </w:p>
    <w:p>
      <w:pPr>
        <w:spacing w:line="4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国家综合性消防救援队伍</w:t>
      </w:r>
      <w:r>
        <w:rPr>
          <w:rFonts w:ascii="Times New Roman" w:hAnsi="Times New Roman" w:eastAsia="方正小标宋简体"/>
          <w:sz w:val="44"/>
          <w:szCs w:val="44"/>
        </w:rPr>
        <w:t>2021</w:t>
      </w:r>
      <w:r>
        <w:rPr>
          <w:rFonts w:hint="eastAsia" w:ascii="Times New Roman" w:hAnsi="Times New Roman" w:eastAsia="方正小标宋简体"/>
          <w:sz w:val="44"/>
          <w:szCs w:val="44"/>
        </w:rPr>
        <w:t>年</w:t>
      </w:r>
    </w:p>
    <w:p>
      <w:pPr>
        <w:spacing w:line="4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消防员招录急需专业目录</w:t>
      </w:r>
    </w:p>
    <w:p>
      <w:pPr>
        <w:spacing w:line="460" w:lineRule="exact"/>
        <w:jc w:val="center"/>
        <w:rPr>
          <w:rFonts w:ascii="Times New Roman" w:hAnsi="Times New Roman" w:eastAsia="方正小标宋简体"/>
          <w:sz w:val="44"/>
          <w:szCs w:val="44"/>
        </w:rPr>
      </w:pPr>
    </w:p>
    <w:tbl>
      <w:tblPr>
        <w:tblStyle w:val="6"/>
        <w:tblW w:w="9094"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35"/>
        <w:gridCol w:w="3118"/>
        <w:gridCol w:w="1257"/>
        <w:gridCol w:w="1276"/>
        <w:gridCol w:w="1275"/>
        <w:gridCol w:w="13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Merge w:val="restart"/>
            <w:tcBorders>
              <w:top w:val="single" w:color="000000" w:sz="12" w:space="0"/>
            </w:tcBorders>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3118" w:type="dxa"/>
            <w:vMerge w:val="restart"/>
            <w:tcBorders>
              <w:top w:val="single" w:color="000000" w:sz="12" w:space="0"/>
            </w:tcBorders>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专业名称</w:t>
            </w:r>
          </w:p>
        </w:tc>
        <w:tc>
          <w:tcPr>
            <w:tcW w:w="2533" w:type="dxa"/>
            <w:gridSpan w:val="2"/>
            <w:tcBorders>
              <w:top w:val="single" w:color="000000" w:sz="12" w:space="0"/>
            </w:tcBorders>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专业代码</w:t>
            </w:r>
          </w:p>
        </w:tc>
        <w:tc>
          <w:tcPr>
            <w:tcW w:w="1275" w:type="dxa"/>
            <w:vMerge w:val="restart"/>
            <w:tcBorders>
              <w:top w:val="single" w:color="000000" w:sz="12" w:space="0"/>
            </w:tcBorders>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消防救援</w:t>
            </w:r>
          </w:p>
        </w:tc>
        <w:tc>
          <w:tcPr>
            <w:tcW w:w="1333" w:type="dxa"/>
            <w:vMerge w:val="restart"/>
            <w:tcBorders>
              <w:top w:val="single" w:color="000000" w:sz="12" w:space="0"/>
            </w:tcBorders>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森林消防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Merge w:val="continue"/>
            <w:vAlign w:val="center"/>
          </w:tcPr>
          <w:p>
            <w:pPr>
              <w:spacing w:line="400" w:lineRule="exact"/>
              <w:jc w:val="center"/>
              <w:rPr>
                <w:rFonts w:ascii="Times New Roman" w:hAnsi="Times New Roman" w:eastAsia="方正仿宋_GBK"/>
                <w:sz w:val="24"/>
                <w:szCs w:val="24"/>
              </w:rPr>
            </w:pPr>
          </w:p>
        </w:tc>
        <w:tc>
          <w:tcPr>
            <w:tcW w:w="3118" w:type="dxa"/>
            <w:vMerge w:val="continue"/>
            <w:vAlign w:val="center"/>
          </w:tcPr>
          <w:p>
            <w:pPr>
              <w:spacing w:line="400" w:lineRule="exact"/>
              <w:jc w:val="center"/>
              <w:rPr>
                <w:rFonts w:ascii="Times New Roman" w:hAnsi="Times New Roman" w:eastAsia="方正仿宋_GBK"/>
                <w:sz w:val="24"/>
                <w:szCs w:val="24"/>
              </w:rPr>
            </w:pPr>
          </w:p>
        </w:tc>
        <w:tc>
          <w:tcPr>
            <w:tcW w:w="1257"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本科</w:t>
            </w:r>
          </w:p>
        </w:tc>
        <w:tc>
          <w:tcPr>
            <w:tcW w:w="1276" w:type="dxa"/>
            <w:vAlign w:val="center"/>
          </w:tcPr>
          <w:p>
            <w:pPr>
              <w:spacing w:line="400" w:lineRule="exact"/>
              <w:jc w:val="center"/>
              <w:rPr>
                <w:rFonts w:ascii="Times New Roman" w:hAnsi="Times New Roman" w:eastAsia="黑体"/>
                <w:sz w:val="24"/>
                <w:szCs w:val="24"/>
              </w:rPr>
            </w:pPr>
            <w:r>
              <w:rPr>
                <w:rFonts w:hint="eastAsia" w:ascii="Times New Roman" w:hAnsi="Times New Roman" w:eastAsia="黑体"/>
                <w:sz w:val="24"/>
                <w:szCs w:val="24"/>
              </w:rPr>
              <w:t>专科</w:t>
            </w:r>
          </w:p>
        </w:tc>
        <w:tc>
          <w:tcPr>
            <w:tcW w:w="1275" w:type="dxa"/>
            <w:vMerge w:val="continue"/>
            <w:vAlign w:val="center"/>
          </w:tcPr>
          <w:p>
            <w:pPr>
              <w:spacing w:line="400" w:lineRule="exact"/>
              <w:jc w:val="center"/>
              <w:rPr>
                <w:rFonts w:ascii="Times New Roman" w:hAnsi="Times New Roman" w:eastAsia="方正仿宋_GBK"/>
                <w:sz w:val="24"/>
                <w:szCs w:val="24"/>
              </w:rPr>
            </w:pPr>
          </w:p>
        </w:tc>
        <w:tc>
          <w:tcPr>
            <w:tcW w:w="1333" w:type="dxa"/>
            <w:vMerge w:val="continue"/>
            <w:vAlign w:val="center"/>
          </w:tcPr>
          <w:p>
            <w:pPr>
              <w:spacing w:line="400" w:lineRule="exact"/>
              <w:jc w:val="center"/>
              <w:rPr>
                <w:rFonts w:ascii="Times New Roman" w:hAnsi="Times New Roman" w:eastAsia="方正仿宋_GBK"/>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机械设计制造及其自动化</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080202</w:t>
            </w:r>
          </w:p>
        </w:tc>
        <w:tc>
          <w:tcPr>
            <w:tcW w:w="1276" w:type="dxa"/>
            <w:vAlign w:val="center"/>
          </w:tcPr>
          <w:p>
            <w:pPr>
              <w:spacing w:line="400" w:lineRule="exact"/>
              <w:jc w:val="center"/>
              <w:rPr>
                <w:rFonts w:ascii="Times New Roman" w:hAnsi="Times New Roman" w:eastAsia="仿宋_GB2312"/>
                <w:sz w:val="24"/>
                <w:szCs w:val="24"/>
              </w:rPr>
            </w:pP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2</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机械设计与制造</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560101</w:t>
            </w: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3</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机械制造与自动化</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560102</w:t>
            </w: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4</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土木工程</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081001</w:t>
            </w:r>
          </w:p>
        </w:tc>
        <w:tc>
          <w:tcPr>
            <w:tcW w:w="1276" w:type="dxa"/>
            <w:vAlign w:val="center"/>
          </w:tcPr>
          <w:p>
            <w:pPr>
              <w:spacing w:line="400" w:lineRule="exact"/>
              <w:jc w:val="center"/>
              <w:rPr>
                <w:rFonts w:ascii="Times New Roman" w:hAnsi="Times New Roman" w:eastAsia="仿宋_GB2312"/>
                <w:sz w:val="24"/>
                <w:szCs w:val="24"/>
              </w:rPr>
            </w:pP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机电一体化技术</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560301</w:t>
            </w: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6</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通信工程</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080703</w:t>
            </w:r>
          </w:p>
        </w:tc>
        <w:tc>
          <w:tcPr>
            <w:tcW w:w="1276" w:type="dxa"/>
            <w:vAlign w:val="center"/>
          </w:tcPr>
          <w:p>
            <w:pPr>
              <w:spacing w:line="400" w:lineRule="exact"/>
              <w:jc w:val="center"/>
              <w:rPr>
                <w:rFonts w:ascii="Times New Roman" w:hAnsi="Times New Roman" w:eastAsia="仿宋_GB2312"/>
                <w:sz w:val="24"/>
                <w:szCs w:val="24"/>
              </w:rPr>
            </w:pP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7</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化学工程与工艺</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081301</w:t>
            </w:r>
          </w:p>
        </w:tc>
        <w:tc>
          <w:tcPr>
            <w:tcW w:w="1276" w:type="dxa"/>
            <w:vAlign w:val="center"/>
          </w:tcPr>
          <w:p>
            <w:pPr>
              <w:spacing w:line="400" w:lineRule="exact"/>
              <w:jc w:val="center"/>
              <w:rPr>
                <w:rFonts w:ascii="Times New Roman" w:hAnsi="Times New Roman" w:eastAsia="仿宋_GB2312"/>
                <w:sz w:val="24"/>
                <w:szCs w:val="24"/>
              </w:rPr>
            </w:pP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8</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基础医学</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100101K</w:t>
            </w:r>
          </w:p>
        </w:tc>
        <w:tc>
          <w:tcPr>
            <w:tcW w:w="1276" w:type="dxa"/>
            <w:vAlign w:val="center"/>
          </w:tcPr>
          <w:p>
            <w:pPr>
              <w:spacing w:line="400" w:lineRule="exact"/>
              <w:jc w:val="center"/>
              <w:rPr>
                <w:rFonts w:ascii="Times New Roman" w:hAnsi="Times New Roman" w:eastAsia="仿宋_GB2312"/>
                <w:sz w:val="24"/>
                <w:szCs w:val="24"/>
              </w:rPr>
            </w:pP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9</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汽车检测与维修技术</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560702</w:t>
            </w: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10</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运动训练</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040202K</w:t>
            </w: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660302</w:t>
            </w: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11</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体育教育</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040201</w:t>
            </w: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670114K</w:t>
            </w: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12</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计算机信息管理</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610203</w:t>
            </w:r>
          </w:p>
        </w:tc>
        <w:tc>
          <w:tcPr>
            <w:tcW w:w="127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13</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飞机机电设备维修</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600409</w:t>
            </w:r>
          </w:p>
        </w:tc>
        <w:tc>
          <w:tcPr>
            <w:tcW w:w="1275" w:type="dxa"/>
            <w:vAlign w:val="center"/>
          </w:tcPr>
          <w:p>
            <w:pPr>
              <w:spacing w:line="400" w:lineRule="exact"/>
              <w:jc w:val="center"/>
              <w:rPr>
                <w:rFonts w:ascii="Times New Roman" w:hAnsi="Times New Roman" w:eastAsia="仿宋_GB2312"/>
                <w:sz w:val="24"/>
                <w:szCs w:val="24"/>
              </w:rPr>
            </w:pP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14</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飞机部件修理</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600411</w:t>
            </w:r>
          </w:p>
        </w:tc>
        <w:tc>
          <w:tcPr>
            <w:tcW w:w="1275" w:type="dxa"/>
            <w:vAlign w:val="center"/>
          </w:tcPr>
          <w:p>
            <w:pPr>
              <w:spacing w:line="400" w:lineRule="exact"/>
              <w:jc w:val="center"/>
              <w:rPr>
                <w:rFonts w:ascii="Times New Roman" w:hAnsi="Times New Roman" w:eastAsia="仿宋_GB2312"/>
                <w:sz w:val="24"/>
                <w:szCs w:val="24"/>
              </w:rPr>
            </w:pP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15</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林学</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090501</w:t>
            </w:r>
          </w:p>
        </w:tc>
        <w:tc>
          <w:tcPr>
            <w:tcW w:w="1276" w:type="dxa"/>
            <w:vAlign w:val="center"/>
          </w:tcPr>
          <w:p>
            <w:pPr>
              <w:spacing w:line="400" w:lineRule="exact"/>
              <w:jc w:val="center"/>
              <w:rPr>
                <w:rFonts w:ascii="Times New Roman" w:hAnsi="Times New Roman" w:eastAsia="仿宋_GB2312"/>
                <w:sz w:val="24"/>
                <w:szCs w:val="24"/>
              </w:rPr>
            </w:pPr>
          </w:p>
        </w:tc>
        <w:tc>
          <w:tcPr>
            <w:tcW w:w="1275" w:type="dxa"/>
            <w:vAlign w:val="center"/>
          </w:tcPr>
          <w:p>
            <w:pPr>
              <w:spacing w:line="400" w:lineRule="exact"/>
              <w:jc w:val="center"/>
              <w:rPr>
                <w:rFonts w:ascii="Times New Roman" w:hAnsi="Times New Roman" w:eastAsia="仿宋_GB2312"/>
                <w:sz w:val="24"/>
                <w:szCs w:val="24"/>
              </w:rPr>
            </w:pP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16</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森林保护</w:t>
            </w:r>
          </w:p>
        </w:tc>
        <w:tc>
          <w:tcPr>
            <w:tcW w:w="125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090503</w:t>
            </w:r>
          </w:p>
        </w:tc>
        <w:tc>
          <w:tcPr>
            <w:tcW w:w="1276" w:type="dxa"/>
            <w:vAlign w:val="center"/>
          </w:tcPr>
          <w:p>
            <w:pPr>
              <w:spacing w:line="400" w:lineRule="exact"/>
              <w:jc w:val="center"/>
              <w:rPr>
                <w:rFonts w:ascii="Times New Roman" w:hAnsi="Times New Roman" w:eastAsia="仿宋_GB2312"/>
                <w:sz w:val="24"/>
                <w:szCs w:val="24"/>
              </w:rPr>
            </w:pPr>
          </w:p>
        </w:tc>
        <w:tc>
          <w:tcPr>
            <w:tcW w:w="1275" w:type="dxa"/>
            <w:vAlign w:val="center"/>
          </w:tcPr>
          <w:p>
            <w:pPr>
              <w:spacing w:line="400" w:lineRule="exact"/>
              <w:jc w:val="center"/>
              <w:rPr>
                <w:rFonts w:ascii="Times New Roman" w:hAnsi="Times New Roman" w:eastAsia="仿宋_GB2312"/>
                <w:sz w:val="24"/>
                <w:szCs w:val="24"/>
              </w:rPr>
            </w:pP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17</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森林资源保护</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510203</w:t>
            </w:r>
          </w:p>
        </w:tc>
        <w:tc>
          <w:tcPr>
            <w:tcW w:w="1275" w:type="dxa"/>
            <w:vAlign w:val="center"/>
          </w:tcPr>
          <w:p>
            <w:pPr>
              <w:spacing w:line="400" w:lineRule="exact"/>
              <w:jc w:val="center"/>
              <w:rPr>
                <w:rFonts w:ascii="Times New Roman" w:hAnsi="Times New Roman" w:eastAsia="仿宋_GB2312"/>
                <w:sz w:val="24"/>
                <w:szCs w:val="24"/>
              </w:rPr>
            </w:pP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18</w:t>
            </w:r>
          </w:p>
        </w:tc>
        <w:tc>
          <w:tcPr>
            <w:tcW w:w="3118" w:type="dxa"/>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森林防火指挥与通讯</w:t>
            </w:r>
          </w:p>
        </w:tc>
        <w:tc>
          <w:tcPr>
            <w:tcW w:w="1257" w:type="dxa"/>
            <w:vAlign w:val="center"/>
          </w:tcPr>
          <w:p>
            <w:pPr>
              <w:spacing w:line="400" w:lineRule="exact"/>
              <w:jc w:val="center"/>
              <w:rPr>
                <w:rFonts w:ascii="Times New Roman" w:hAnsi="Times New Roman" w:eastAsia="仿宋_GB2312"/>
                <w:sz w:val="24"/>
                <w:szCs w:val="24"/>
              </w:rPr>
            </w:pPr>
          </w:p>
        </w:tc>
        <w:tc>
          <w:tcPr>
            <w:tcW w:w="1276"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510208</w:t>
            </w:r>
          </w:p>
        </w:tc>
        <w:tc>
          <w:tcPr>
            <w:tcW w:w="1275" w:type="dxa"/>
            <w:vAlign w:val="center"/>
          </w:tcPr>
          <w:p>
            <w:pPr>
              <w:spacing w:line="400" w:lineRule="exact"/>
              <w:jc w:val="center"/>
              <w:rPr>
                <w:rFonts w:ascii="Times New Roman" w:hAnsi="Times New Roman" w:eastAsia="仿宋_GB2312"/>
                <w:sz w:val="24"/>
                <w:szCs w:val="24"/>
              </w:rPr>
            </w:pPr>
          </w:p>
        </w:tc>
        <w:tc>
          <w:tcPr>
            <w:tcW w:w="1333"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835" w:type="dxa"/>
            <w:tcBorders>
              <w:bottom w:val="single" w:color="000000" w:sz="12" w:space="0"/>
            </w:tcBorders>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19</w:t>
            </w:r>
          </w:p>
        </w:tc>
        <w:tc>
          <w:tcPr>
            <w:tcW w:w="3118" w:type="dxa"/>
            <w:tcBorders>
              <w:bottom w:val="single" w:color="000000" w:sz="12" w:space="0"/>
            </w:tcBorders>
            <w:vAlign w:val="center"/>
          </w:tcPr>
          <w:p>
            <w:pPr>
              <w:spacing w:line="400" w:lineRule="exact"/>
              <w:jc w:val="left"/>
              <w:rPr>
                <w:rFonts w:ascii="Times New Roman" w:hAnsi="Times New Roman" w:eastAsia="仿宋_GB2312"/>
                <w:sz w:val="24"/>
                <w:szCs w:val="24"/>
              </w:rPr>
            </w:pPr>
            <w:r>
              <w:rPr>
                <w:rFonts w:hint="eastAsia" w:ascii="Times New Roman" w:hAnsi="Times New Roman" w:eastAsia="仿宋_GB2312"/>
                <w:sz w:val="24"/>
                <w:szCs w:val="24"/>
              </w:rPr>
              <w:t>森林消防</w:t>
            </w:r>
          </w:p>
        </w:tc>
        <w:tc>
          <w:tcPr>
            <w:tcW w:w="1257" w:type="dxa"/>
            <w:tcBorders>
              <w:bottom w:val="single" w:color="000000" w:sz="12" w:space="0"/>
            </w:tcBorders>
            <w:vAlign w:val="center"/>
          </w:tcPr>
          <w:p>
            <w:pPr>
              <w:spacing w:line="400" w:lineRule="exact"/>
              <w:jc w:val="center"/>
              <w:rPr>
                <w:rFonts w:ascii="Times New Roman" w:hAnsi="Times New Roman" w:eastAsia="仿宋_GB2312"/>
                <w:sz w:val="24"/>
                <w:szCs w:val="24"/>
              </w:rPr>
            </w:pPr>
          </w:p>
        </w:tc>
        <w:tc>
          <w:tcPr>
            <w:tcW w:w="1276" w:type="dxa"/>
            <w:tcBorders>
              <w:bottom w:val="single" w:color="000000" w:sz="12" w:space="0"/>
            </w:tcBorders>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680110K</w:t>
            </w:r>
          </w:p>
        </w:tc>
        <w:tc>
          <w:tcPr>
            <w:tcW w:w="1275" w:type="dxa"/>
            <w:tcBorders>
              <w:bottom w:val="single" w:color="000000" w:sz="12" w:space="0"/>
            </w:tcBorders>
            <w:vAlign w:val="center"/>
          </w:tcPr>
          <w:p>
            <w:pPr>
              <w:spacing w:line="400" w:lineRule="exact"/>
              <w:jc w:val="center"/>
              <w:rPr>
                <w:rFonts w:ascii="Times New Roman" w:hAnsi="Times New Roman" w:eastAsia="仿宋_GB2312"/>
                <w:sz w:val="24"/>
                <w:szCs w:val="24"/>
              </w:rPr>
            </w:pPr>
          </w:p>
        </w:tc>
        <w:tc>
          <w:tcPr>
            <w:tcW w:w="1333" w:type="dxa"/>
            <w:tcBorders>
              <w:bottom w:val="single" w:color="000000" w:sz="12" w:space="0"/>
            </w:tcBorders>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w:t>
            </w:r>
          </w:p>
        </w:tc>
      </w:tr>
    </w:tbl>
    <w:p>
      <w:pPr>
        <w:spacing w:line="20" w:lineRule="exact"/>
        <w:rPr>
          <w:rFonts w:ascii="Times New Roman" w:hAnsi="Times New Roman" w:eastAsia="方正仿宋_GBK"/>
          <w:sz w:val="32"/>
          <w:szCs w:val="32"/>
        </w:rPr>
      </w:pPr>
    </w:p>
    <w:p>
      <w:pPr>
        <w:spacing w:after="156" w:afterLines="50" w:line="400" w:lineRule="exact"/>
        <w:jc w:val="left"/>
        <w:rPr>
          <w:rFonts w:ascii="Times New Roman" w:hAnsi="Times New Roman"/>
          <w:sz w:val="32"/>
          <w:szCs w:val="32"/>
        </w:rPr>
      </w:pPr>
      <w:r>
        <w:rPr>
          <w:rFonts w:ascii="Times New Roman" w:hAnsi="Times New Roman" w:eastAsia="黑体"/>
          <w:sz w:val="32"/>
          <w:szCs w:val="32"/>
        </w:rPr>
        <w:t>附件</w:t>
      </w:r>
      <w:r>
        <w:rPr>
          <w:rFonts w:hint="eastAsia" w:ascii="Times New Roman" w:hAnsi="Times New Roman" w:eastAsia="黑体"/>
          <w:sz w:val="32"/>
          <w:szCs w:val="32"/>
        </w:rPr>
        <w:t>5</w:t>
      </w:r>
    </w:p>
    <w:p>
      <w:pPr>
        <w:spacing w:line="4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各地市</w:t>
      </w:r>
      <w:r>
        <w:rPr>
          <w:rFonts w:ascii="Times New Roman" w:hAnsi="Times New Roman" w:eastAsia="方正小标宋简体"/>
          <w:sz w:val="44"/>
          <w:szCs w:val="44"/>
        </w:rPr>
        <w:t>消防救援队伍</w:t>
      </w:r>
      <w:r>
        <w:rPr>
          <w:rFonts w:hint="eastAsia" w:ascii="Times New Roman" w:hAnsi="Times New Roman" w:eastAsia="方正小标宋简体"/>
          <w:sz w:val="44"/>
          <w:szCs w:val="44"/>
        </w:rPr>
        <w:t>2</w:t>
      </w:r>
      <w:r>
        <w:rPr>
          <w:rFonts w:ascii="Times New Roman" w:hAnsi="Times New Roman" w:eastAsia="方正小标宋简体"/>
          <w:sz w:val="44"/>
          <w:szCs w:val="44"/>
        </w:rPr>
        <w:t>021</w:t>
      </w:r>
      <w:r>
        <w:rPr>
          <w:rFonts w:hint="eastAsia" w:ascii="Times New Roman" w:hAnsi="Times New Roman" w:eastAsia="方正小标宋简体"/>
          <w:sz w:val="44"/>
          <w:szCs w:val="44"/>
        </w:rPr>
        <w:t>年</w:t>
      </w:r>
    </w:p>
    <w:p>
      <w:pPr>
        <w:spacing w:line="460" w:lineRule="exact"/>
        <w:jc w:val="center"/>
        <w:rPr>
          <w:rFonts w:ascii="Times New Roman" w:hAnsi="Times New Roman" w:eastAsia="方正小标宋简体"/>
          <w:sz w:val="44"/>
          <w:szCs w:val="44"/>
        </w:rPr>
      </w:pPr>
      <w:r>
        <w:rPr>
          <w:rFonts w:ascii="Times New Roman" w:hAnsi="Times New Roman" w:eastAsia="方正小标宋简体"/>
          <w:sz w:val="44"/>
          <w:szCs w:val="44"/>
        </w:rPr>
        <w:t>消防员招录工作联系方式</w:t>
      </w:r>
    </w:p>
    <w:p>
      <w:pPr>
        <w:spacing w:line="200" w:lineRule="exact"/>
        <w:contextualSpacing/>
        <w:jc w:val="center"/>
        <w:rPr>
          <w:rFonts w:hint="eastAsia" w:ascii="Times New Roman" w:hAnsi="Times New Roman" w:eastAsia="方正小标宋简体"/>
          <w:sz w:val="44"/>
          <w:szCs w:val="44"/>
        </w:rPr>
      </w:pPr>
    </w:p>
    <w:tbl>
      <w:tblPr>
        <w:tblStyle w:val="6"/>
        <w:tblpPr w:leftFromText="180" w:rightFromText="180" w:vertAnchor="text" w:horzAnchor="margin" w:tblpY="108"/>
        <w:tblW w:w="859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91"/>
        <w:gridCol w:w="2163"/>
        <w:gridCol w:w="742"/>
        <w:gridCol w:w="1427"/>
        <w:gridCol w:w="21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12" w:type="dxa"/>
            <w:vAlign w:val="center"/>
          </w:tcPr>
          <w:p>
            <w:pPr>
              <w:spacing w:line="480" w:lineRule="exact"/>
              <w:contextualSpacing/>
              <w:jc w:val="center"/>
              <w:rPr>
                <w:rFonts w:ascii="Times New Roman" w:hAnsi="Times New Roman" w:eastAsia="黑体"/>
                <w:sz w:val="24"/>
                <w:szCs w:val="24"/>
              </w:rPr>
            </w:pPr>
            <w:r>
              <w:rPr>
                <w:rFonts w:ascii="Times New Roman" w:hAnsi="Times New Roman" w:eastAsia="黑体"/>
                <w:sz w:val="24"/>
                <w:szCs w:val="24"/>
              </w:rPr>
              <w:t>序号</w:t>
            </w:r>
          </w:p>
        </w:tc>
        <w:tc>
          <w:tcPr>
            <w:tcW w:w="1391" w:type="dxa"/>
            <w:vAlign w:val="center"/>
          </w:tcPr>
          <w:p>
            <w:pPr>
              <w:spacing w:line="480" w:lineRule="exact"/>
              <w:contextualSpacing/>
              <w:jc w:val="center"/>
              <w:rPr>
                <w:rFonts w:ascii="Times New Roman" w:hAnsi="Times New Roman" w:eastAsia="黑体"/>
                <w:sz w:val="24"/>
                <w:szCs w:val="24"/>
              </w:rPr>
            </w:pPr>
            <w:r>
              <w:rPr>
                <w:rFonts w:ascii="Times New Roman" w:hAnsi="Times New Roman" w:eastAsia="黑体"/>
                <w:sz w:val="24"/>
                <w:szCs w:val="24"/>
              </w:rPr>
              <w:t>单  位</w:t>
            </w:r>
          </w:p>
        </w:tc>
        <w:tc>
          <w:tcPr>
            <w:tcW w:w="2163" w:type="dxa"/>
            <w:vAlign w:val="center"/>
          </w:tcPr>
          <w:p>
            <w:pPr>
              <w:spacing w:line="480" w:lineRule="exact"/>
              <w:contextualSpacing/>
              <w:jc w:val="center"/>
              <w:rPr>
                <w:rFonts w:ascii="Times New Roman" w:hAnsi="Times New Roman" w:eastAsia="黑体"/>
                <w:sz w:val="24"/>
                <w:szCs w:val="24"/>
              </w:rPr>
            </w:pPr>
            <w:r>
              <w:rPr>
                <w:rFonts w:ascii="Times New Roman" w:hAnsi="Times New Roman" w:eastAsia="黑体"/>
                <w:sz w:val="24"/>
                <w:szCs w:val="24"/>
              </w:rPr>
              <w:t>联系方式</w:t>
            </w:r>
          </w:p>
        </w:tc>
        <w:tc>
          <w:tcPr>
            <w:tcW w:w="742" w:type="dxa"/>
            <w:vAlign w:val="center"/>
          </w:tcPr>
          <w:p>
            <w:pPr>
              <w:spacing w:line="480" w:lineRule="exact"/>
              <w:contextualSpacing/>
              <w:jc w:val="center"/>
              <w:rPr>
                <w:rFonts w:ascii="Times New Roman" w:hAnsi="Times New Roman" w:eastAsia="黑体"/>
                <w:sz w:val="24"/>
                <w:szCs w:val="24"/>
              </w:rPr>
            </w:pPr>
            <w:r>
              <w:rPr>
                <w:rFonts w:ascii="Times New Roman" w:hAnsi="Times New Roman" w:eastAsia="黑体"/>
                <w:sz w:val="24"/>
                <w:szCs w:val="24"/>
              </w:rPr>
              <w:t>序号</w:t>
            </w:r>
          </w:p>
        </w:tc>
        <w:tc>
          <w:tcPr>
            <w:tcW w:w="1427" w:type="dxa"/>
            <w:vAlign w:val="center"/>
          </w:tcPr>
          <w:p>
            <w:pPr>
              <w:spacing w:line="480" w:lineRule="exact"/>
              <w:contextualSpacing/>
              <w:jc w:val="center"/>
              <w:rPr>
                <w:rFonts w:ascii="Times New Roman" w:hAnsi="Times New Roman" w:eastAsia="黑体"/>
                <w:sz w:val="24"/>
                <w:szCs w:val="24"/>
              </w:rPr>
            </w:pPr>
            <w:r>
              <w:rPr>
                <w:rFonts w:ascii="Times New Roman" w:hAnsi="Times New Roman" w:eastAsia="黑体"/>
                <w:sz w:val="24"/>
                <w:szCs w:val="24"/>
              </w:rPr>
              <w:t>单  位</w:t>
            </w:r>
          </w:p>
        </w:tc>
        <w:tc>
          <w:tcPr>
            <w:tcW w:w="2156" w:type="dxa"/>
            <w:vAlign w:val="center"/>
          </w:tcPr>
          <w:p>
            <w:pPr>
              <w:spacing w:line="480" w:lineRule="exact"/>
              <w:contextualSpacing/>
              <w:jc w:val="center"/>
              <w:rPr>
                <w:rFonts w:ascii="Times New Roman" w:hAnsi="Times New Roman" w:eastAsia="黑体"/>
                <w:sz w:val="24"/>
                <w:szCs w:val="24"/>
              </w:rPr>
            </w:pPr>
            <w:r>
              <w:rPr>
                <w:rFonts w:ascii="Times New Roman" w:hAnsi="Times New Roman" w:eastAsia="黑体"/>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12"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1</w:t>
            </w:r>
          </w:p>
        </w:tc>
        <w:tc>
          <w:tcPr>
            <w:tcW w:w="1391" w:type="dxa"/>
            <w:vAlign w:val="center"/>
          </w:tcPr>
          <w:p>
            <w:pPr>
              <w:spacing w:line="360" w:lineRule="auto"/>
              <w:jc w:val="center"/>
              <w:rPr>
                <w:rFonts w:ascii="Times New Roman" w:hAnsi="Times New Roman" w:eastAsia="黑体"/>
                <w:sz w:val="24"/>
                <w:szCs w:val="24"/>
              </w:rPr>
            </w:pPr>
            <w:r>
              <w:rPr>
                <w:rFonts w:hint="eastAsia" w:ascii="Times New Roman" w:hAnsi="Times New Roman" w:eastAsia="仿宋_GB2312"/>
                <w:sz w:val="24"/>
                <w:szCs w:val="24"/>
              </w:rPr>
              <w:t>省招录办</w:t>
            </w:r>
          </w:p>
        </w:tc>
        <w:tc>
          <w:tcPr>
            <w:tcW w:w="2163" w:type="dxa"/>
            <w:vAlign w:val="center"/>
          </w:tcPr>
          <w:p>
            <w:pPr>
              <w:spacing w:line="360" w:lineRule="auto"/>
              <w:contextualSpacing/>
              <w:jc w:val="center"/>
              <w:rPr>
                <w:rFonts w:hint="eastAsia" w:ascii="Times New Roman" w:hAnsi="Times New Roman" w:eastAsia="黑体"/>
                <w:sz w:val="24"/>
                <w:szCs w:val="24"/>
              </w:rPr>
            </w:pPr>
            <w:r>
              <w:rPr>
                <w:rFonts w:hint="eastAsia" w:ascii="Times New Roman" w:hAnsi="Times New Roman" w:eastAsia="黑体"/>
                <w:sz w:val="24"/>
                <w:szCs w:val="24"/>
              </w:rPr>
              <w:t>0571-81051470</w:t>
            </w:r>
          </w:p>
          <w:p>
            <w:pPr>
              <w:spacing w:line="360" w:lineRule="auto"/>
              <w:contextualSpacing/>
              <w:jc w:val="center"/>
              <w:rPr>
                <w:rFonts w:ascii="Times New Roman" w:hAnsi="Times New Roman" w:eastAsia="黑体"/>
                <w:sz w:val="24"/>
                <w:szCs w:val="24"/>
              </w:rPr>
            </w:pPr>
            <w:r>
              <w:rPr>
                <w:rFonts w:hint="eastAsia" w:ascii="Times New Roman" w:hAnsi="Times New Roman" w:eastAsia="黑体"/>
                <w:sz w:val="24"/>
                <w:szCs w:val="24"/>
              </w:rPr>
              <w:t>0571-85863667</w:t>
            </w:r>
          </w:p>
        </w:tc>
        <w:tc>
          <w:tcPr>
            <w:tcW w:w="7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8</w:t>
            </w:r>
          </w:p>
        </w:tc>
        <w:tc>
          <w:tcPr>
            <w:tcW w:w="142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金  华</w:t>
            </w:r>
          </w:p>
        </w:tc>
        <w:tc>
          <w:tcPr>
            <w:tcW w:w="2156" w:type="dxa"/>
            <w:vAlign w:val="center"/>
          </w:tcPr>
          <w:p>
            <w:pPr>
              <w:spacing w:line="360" w:lineRule="auto"/>
              <w:jc w:val="center"/>
              <w:rPr>
                <w:rFonts w:hint="eastAsia" w:ascii="Times New Roman" w:hAnsi="Times New Roman" w:eastAsia="仿宋_GB2312"/>
                <w:sz w:val="24"/>
                <w:szCs w:val="24"/>
              </w:rPr>
            </w:pPr>
            <w:r>
              <w:rPr>
                <w:rFonts w:hint="eastAsia" w:ascii="Times New Roman" w:hAnsi="Times New Roman" w:eastAsia="仿宋_GB2312"/>
                <w:sz w:val="24"/>
                <w:szCs w:val="24"/>
              </w:rPr>
              <w:t>18367979119</w:t>
            </w:r>
          </w:p>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13566993456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12"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2</w:t>
            </w:r>
          </w:p>
        </w:tc>
        <w:tc>
          <w:tcPr>
            <w:tcW w:w="1391"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杭  州</w:t>
            </w:r>
          </w:p>
        </w:tc>
        <w:tc>
          <w:tcPr>
            <w:tcW w:w="216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0571-87713057</w:t>
            </w:r>
          </w:p>
        </w:tc>
        <w:tc>
          <w:tcPr>
            <w:tcW w:w="7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9</w:t>
            </w:r>
          </w:p>
        </w:tc>
        <w:tc>
          <w:tcPr>
            <w:tcW w:w="142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衢  州</w:t>
            </w:r>
          </w:p>
        </w:tc>
        <w:tc>
          <w:tcPr>
            <w:tcW w:w="2156"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0570-3025809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12"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3</w:t>
            </w:r>
          </w:p>
        </w:tc>
        <w:tc>
          <w:tcPr>
            <w:tcW w:w="1391"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宁  波</w:t>
            </w:r>
          </w:p>
        </w:tc>
        <w:tc>
          <w:tcPr>
            <w:tcW w:w="2163" w:type="dxa"/>
            <w:vAlign w:val="center"/>
          </w:tcPr>
          <w:p>
            <w:pPr>
              <w:spacing w:line="360" w:lineRule="auto"/>
              <w:jc w:val="center"/>
              <w:rPr>
                <w:rFonts w:ascii="Times New Roman" w:hAnsi="Times New Roman" w:eastAsia="仿宋_GB2312"/>
                <w:spacing w:val="-6"/>
                <w:sz w:val="24"/>
                <w:szCs w:val="24"/>
              </w:rPr>
            </w:pPr>
            <w:r>
              <w:rPr>
                <w:rFonts w:hint="eastAsia" w:ascii="Times New Roman" w:hAnsi="Times New Roman" w:eastAsia="仿宋_GB2312"/>
                <w:spacing w:val="-6"/>
                <w:sz w:val="24"/>
                <w:szCs w:val="24"/>
              </w:rPr>
              <w:t>0574-55666015</w:t>
            </w:r>
          </w:p>
        </w:tc>
        <w:tc>
          <w:tcPr>
            <w:tcW w:w="7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10</w:t>
            </w:r>
          </w:p>
        </w:tc>
        <w:tc>
          <w:tcPr>
            <w:tcW w:w="142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舟  山</w:t>
            </w:r>
          </w:p>
        </w:tc>
        <w:tc>
          <w:tcPr>
            <w:tcW w:w="2156"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0580-2087952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12"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4</w:t>
            </w:r>
          </w:p>
        </w:tc>
        <w:tc>
          <w:tcPr>
            <w:tcW w:w="1391"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温  州</w:t>
            </w:r>
          </w:p>
        </w:tc>
        <w:tc>
          <w:tcPr>
            <w:tcW w:w="216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0577-86509905</w:t>
            </w:r>
          </w:p>
        </w:tc>
        <w:tc>
          <w:tcPr>
            <w:tcW w:w="7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11</w:t>
            </w:r>
          </w:p>
        </w:tc>
        <w:tc>
          <w:tcPr>
            <w:tcW w:w="142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台  州</w:t>
            </w:r>
          </w:p>
        </w:tc>
        <w:tc>
          <w:tcPr>
            <w:tcW w:w="2156"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0576-88503119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12"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5</w:t>
            </w:r>
          </w:p>
        </w:tc>
        <w:tc>
          <w:tcPr>
            <w:tcW w:w="1391"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嘉  兴</w:t>
            </w:r>
          </w:p>
        </w:tc>
        <w:tc>
          <w:tcPr>
            <w:tcW w:w="216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0573-82630525</w:t>
            </w:r>
          </w:p>
        </w:tc>
        <w:tc>
          <w:tcPr>
            <w:tcW w:w="7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12</w:t>
            </w:r>
          </w:p>
        </w:tc>
        <w:tc>
          <w:tcPr>
            <w:tcW w:w="142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丽  水</w:t>
            </w:r>
          </w:p>
        </w:tc>
        <w:tc>
          <w:tcPr>
            <w:tcW w:w="2156"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0578-2216010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12"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6</w:t>
            </w:r>
          </w:p>
        </w:tc>
        <w:tc>
          <w:tcPr>
            <w:tcW w:w="1391"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湖  州</w:t>
            </w:r>
          </w:p>
        </w:tc>
        <w:tc>
          <w:tcPr>
            <w:tcW w:w="2163" w:type="dxa"/>
            <w:vAlign w:val="center"/>
          </w:tcPr>
          <w:p>
            <w:pPr>
              <w:spacing w:line="360" w:lineRule="auto"/>
              <w:jc w:val="center"/>
              <w:rPr>
                <w:rFonts w:ascii="Times New Roman" w:hAnsi="Times New Roman" w:eastAsia="仿宋_GB2312"/>
                <w:spacing w:val="-20"/>
                <w:sz w:val="24"/>
                <w:szCs w:val="24"/>
              </w:rPr>
            </w:pPr>
            <w:r>
              <w:rPr>
                <w:rFonts w:hint="eastAsia" w:ascii="Times New Roman" w:hAnsi="Times New Roman" w:eastAsia="仿宋_GB2312"/>
                <w:spacing w:val="-20"/>
                <w:sz w:val="24"/>
                <w:szCs w:val="24"/>
              </w:rPr>
              <w:t>0572-2399325</w:t>
            </w:r>
          </w:p>
        </w:tc>
        <w:tc>
          <w:tcPr>
            <w:tcW w:w="7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13</w:t>
            </w:r>
          </w:p>
        </w:tc>
        <w:tc>
          <w:tcPr>
            <w:tcW w:w="142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义  乌</w:t>
            </w:r>
          </w:p>
        </w:tc>
        <w:tc>
          <w:tcPr>
            <w:tcW w:w="2156"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0579-89059629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1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7</w:t>
            </w:r>
          </w:p>
        </w:tc>
        <w:tc>
          <w:tcPr>
            <w:tcW w:w="1391"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绍  兴</w:t>
            </w:r>
          </w:p>
        </w:tc>
        <w:tc>
          <w:tcPr>
            <w:tcW w:w="2163" w:type="dxa"/>
            <w:vAlign w:val="center"/>
          </w:tcPr>
          <w:p>
            <w:pPr>
              <w:spacing w:line="360" w:lineRule="auto"/>
              <w:contextualSpacing/>
              <w:jc w:val="center"/>
              <w:rPr>
                <w:rFonts w:ascii="Times New Roman" w:hAnsi="Times New Roman" w:eastAsia="黑体"/>
                <w:sz w:val="24"/>
                <w:szCs w:val="24"/>
              </w:rPr>
            </w:pPr>
            <w:r>
              <w:rPr>
                <w:rFonts w:hint="eastAsia" w:ascii="Times New Roman" w:hAnsi="Times New Roman" w:eastAsia="仿宋_GB2312"/>
                <w:sz w:val="24"/>
                <w:szCs w:val="24"/>
              </w:rPr>
              <w:t>0575-85229969</w:t>
            </w:r>
          </w:p>
        </w:tc>
        <w:tc>
          <w:tcPr>
            <w:tcW w:w="742" w:type="dxa"/>
            <w:vAlign w:val="center"/>
          </w:tcPr>
          <w:p>
            <w:pPr>
              <w:spacing w:line="360" w:lineRule="auto"/>
              <w:jc w:val="center"/>
              <w:rPr>
                <w:rFonts w:ascii="Times New Roman" w:hAnsi="Times New Roman" w:eastAsia="仿宋_GB2312"/>
                <w:sz w:val="24"/>
                <w:szCs w:val="24"/>
              </w:rPr>
            </w:pPr>
          </w:p>
        </w:tc>
        <w:tc>
          <w:tcPr>
            <w:tcW w:w="1427" w:type="dxa"/>
            <w:vAlign w:val="center"/>
          </w:tcPr>
          <w:p>
            <w:pPr>
              <w:spacing w:line="360" w:lineRule="auto"/>
              <w:jc w:val="center"/>
              <w:rPr>
                <w:rFonts w:ascii="Times New Roman" w:hAnsi="Times New Roman" w:eastAsia="仿宋_GB2312"/>
                <w:sz w:val="24"/>
                <w:szCs w:val="24"/>
              </w:rPr>
            </w:pPr>
          </w:p>
        </w:tc>
        <w:tc>
          <w:tcPr>
            <w:tcW w:w="2156" w:type="dxa"/>
            <w:vAlign w:val="center"/>
          </w:tcPr>
          <w:p>
            <w:pPr>
              <w:spacing w:line="360" w:lineRule="auto"/>
              <w:jc w:val="center"/>
              <w:rPr>
                <w:rFonts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91" w:type="dxa"/>
            <w:gridSpan w:val="6"/>
            <w:vAlign w:val="center"/>
          </w:tcPr>
          <w:p>
            <w:pPr>
              <w:spacing w:before="156" w:beforeLines="50" w:after="156" w:afterLines="50" w:line="240" w:lineRule="exact"/>
              <w:rPr>
                <w:rFonts w:ascii="Times New Roman" w:hAnsi="Times New Roman" w:eastAsia="仿宋_GB2312"/>
                <w:sz w:val="24"/>
                <w:szCs w:val="24"/>
              </w:rPr>
            </w:pPr>
            <w:r>
              <w:rPr>
                <w:rFonts w:ascii="Times New Roman" w:hAnsi="Times New Roman" w:eastAsia="仿宋_GB2312"/>
                <w:sz w:val="24"/>
                <w:szCs w:val="24"/>
              </w:rPr>
              <w:t>说明</w:t>
            </w:r>
            <w:r>
              <w:rPr>
                <w:rFonts w:hint="eastAsia" w:ascii="Times New Roman" w:hAnsi="Times New Roman" w:eastAsia="仿宋_GB2312"/>
                <w:sz w:val="24"/>
                <w:szCs w:val="24"/>
              </w:rPr>
              <w:t>：</w:t>
            </w:r>
            <w:r>
              <w:rPr>
                <w:rFonts w:ascii="Times New Roman" w:hAnsi="Times New Roman" w:eastAsia="仿宋_GB2312"/>
                <w:sz w:val="24"/>
                <w:szCs w:val="24"/>
              </w:rPr>
              <w:t>联系电话在工作日工作时间接受咨询。</w:t>
            </w:r>
          </w:p>
        </w:tc>
      </w:tr>
    </w:tbl>
    <w:p/>
    <w:sectPr>
      <w:footerReference r:id="rId3" w:type="even"/>
      <w:pgSz w:w="11906" w:h="16838"/>
      <w:pgMar w:top="2041"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C5E61"/>
    <w:rsid w:val="15FC5E61"/>
    <w:rsid w:val="394D1AB3"/>
    <w:rsid w:val="5C6B273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等线" w:hAnsi="等线" w:eastAsia="等线"/>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2021-08-02T00:55:00Z</dcterms:created>
  <dc:creator>痞子蔡</dc:creator>
  <cp:lastModifiedBy>ShiChang</cp:lastModifiedBy>
  <dcterms:modified xsi:type="dcterms:W3CDTF">2021-08-09T07:46:29Z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y fmtid="{D5CDD505-2E9C-101B-9397-08002B2CF9AE}" pid="3" name="ICV">
    <vt:lpwstr>3226A9455CFE486892FF50BD04C9DF21</vt:lpwstr>
  </property>
</Properties>
</file>