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0E75AA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E75AA"/>
          <w:spacing w:val="0"/>
          <w:sz w:val="27"/>
          <w:szCs w:val="27"/>
          <w:shd w:val="clear" w:fill="FFFFFF"/>
        </w:rPr>
        <w:t>2021年兰溪市公开招聘专职社区工作者拟聘用人员公示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经面试、体检、考察，拟聘用人员公示，公示期为5个工作日，受理举报电话：0579-88890907</w:t>
      </w:r>
    </w:p>
    <w:tbl>
      <w:tblPr>
        <w:tblW w:w="88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083"/>
        <w:gridCol w:w="872"/>
        <w:gridCol w:w="1564"/>
        <w:gridCol w:w="2542"/>
        <w:gridCol w:w="1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报考职位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包奇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赵晓红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陈璐莎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徐聪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张瑶瑶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赵敏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姚叶莹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周佩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张小仪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张莉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叶珊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金鑫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童胜伟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叶骅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徐侃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柳皓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乡镇街道</w:t>
            </w:r>
          </w:p>
        </w:tc>
        <w:tc>
          <w:tcPr>
            <w:tcW w:w="2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专职社区工作者（1）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拟聘用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兰溪市城乡社区工作协调小组办公室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2021年7月7日               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E75AA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2021-07-07T09:39:59Z</dcterms:created>
  <dc:creator>Administrator</dc:creator>
  <cp:lastModifiedBy>鸢</cp:lastModifiedBy>
  <dcterms:modified xsi:type="dcterms:W3CDTF">2021-07-07T09:40:24Z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