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985"/>
        <w:gridCol w:w="1222"/>
        <w:gridCol w:w="1122"/>
        <w:gridCol w:w="997"/>
        <w:gridCol w:w="3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22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9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677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22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9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34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市政、园林作业人员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20名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45周岁（含）以下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男女不限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初中及以上学历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持有B牌或以上驾驶证、电工证和具备泥水、砌砖和园林绿化养护等相关工作经验的可以适当放宽年龄。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0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环卫作业人员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25名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21"/>
                <w:szCs w:val="21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30"/>
                <w:szCs w:val="30"/>
                <w:bdr w:val="none" w:color="auto" w:sz="0" w:space="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64D1466"/>
    <w:rsid w:val="18C01631"/>
    <w:rsid w:val="237340E4"/>
    <w:rsid w:val="34230E7B"/>
    <w:rsid w:val="3FCD7784"/>
    <w:rsid w:val="408E5204"/>
    <w:rsid w:val="5E27404B"/>
    <w:rsid w:val="5F2C0B8D"/>
    <w:rsid w:val="67573215"/>
    <w:rsid w:val="698172A4"/>
    <w:rsid w:val="75A204D7"/>
    <w:rsid w:val="76B6502A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0F4EB15EDE5741AA9052E8EBF6BBAC0A</vt:lpwstr>
  </property>
</Properties>
</file>