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wordWrap/>
        <w:spacing w:before="300" w:beforeAutospacing="0" w:after="0" w:afterAutospacing="0" w:line="45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EFEFE"/>
        </w:rPr>
        <w:t>招聘人数及条件</w:t>
      </w:r>
    </w:p>
    <w:tbl>
      <w:tblPr>
        <w:tblW w:w="85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EFEF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840"/>
        <w:gridCol w:w="840"/>
        <w:gridCol w:w="59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5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1男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1女</w:t>
            </w:r>
          </w:p>
        </w:tc>
        <w:tc>
          <w:tcPr>
            <w:tcW w:w="5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海盐县户籍，全日制大专及以上学历，专业不限，2年以上工作经历(以社保缴费为准)，年龄在35周岁以下（1986年7月1日后出生）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59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EFEF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30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海盐县户籍，复员、退伍军人，高中（中专）及以上学历，专业不限，年龄在35周岁以下（1986年7月1日后出生）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CB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2021-06-28T00:43:57Z</dcterms:created>
  <dc:creator>Administrator</dc:creator>
  <cp:lastModifiedBy>那时花开咖啡馆。</cp:lastModifiedBy>
  <dcterms:modified xsi:type="dcterms:W3CDTF">2021-06-28T00:43:59Z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E41FF52E33DC46BC9DAC9EDBE365EEF3</vt:lpwstr>
  </property>
</Properties>
</file>