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both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  <w:t>附件6</w:t>
      </w:r>
    </w:p>
    <w:bookmarkEnd w:id="0"/>
    <w:p>
      <w:pPr>
        <w:widowControl/>
        <w:wordWrap/>
        <w:adjustRightInd/>
        <w:snapToGrid w:val="0"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吉林大学中日联谊医院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吉林大学第一医院二部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吉林省一汽总医院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吉林省前卫医院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吉林省结核病医院（吉林省传染病医院）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吉林省妇幼保健院（吉林省产科质量控制中心）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长春中医药大学附属第三临床医院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吉林省肝胆病医院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长春通源医院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长春兴泰医院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吉林国健高新妇产医院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二道区人民医院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宽城区医院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绿园区人民医院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吉林大学第二医院民康医院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农安荣大医院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农安合隆经济开发区世济医院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榆树市人民医院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九台区人民医院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双阳区医院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德惠市人民医院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北华大学附属医院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吉林医药学院附属医院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吉林市化工医院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吉林省吉林中西医结合医院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吉林市肛肠医院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吉林市龙潭区铁东医院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吉林市船营二医院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吉林市丰满区医院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吉林市正大国际医院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中国水利水电第一工程局有限公司总医院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吉林市骨伤医院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吉林市职业病防治院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吉林市康圣医院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磐石市医院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蛟河市人民医院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桦甸市人民医院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永吉县人民医院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四平市中心人民医院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四平市第四人民医院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四平资生康复医院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伊通满族自治县第一人民医院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梨树县第一人民医院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辽源市胸科医院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辽源市妇婴医院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东辽县人民医院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东丰县医院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西安区人民医院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集安市医院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松原吉林油田医院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松原德润同心医院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扶余市人民医院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长岭县太平川兴源中医院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宁江吉林油田江北医院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长岭虹光医院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长岭博健医院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长岭和谐医院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白城32183部队医院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通榆县第一医院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通化矿业（集团）有限责任公司总医院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吉林国际旅行卫生保健中心长白海关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江源区人民医院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抚松县人民医院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临江市人民医院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靖宇同康医院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长白朝鲜族自治县人民医院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珲春市人民医院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长春国际旅行卫生保健中心珲春分中心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安图县人民医院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图们市人民医院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龙井市人民医院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和龙市人民医院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汪清县人民医院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吉林国文医院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公主岭市妇幼保健计划生育服务中心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公主岭市第三人民医院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pPr w:leftFromText="180" w:rightFromText="180" w:vertAnchor="text" w:horzAnchor="margin" w:tblpXSpec="center" w:tblpY="146"/>
        <w:tblW w:w="8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吉林金域医学检验所有限公司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长春千麦医学检验实验室有限公司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吉林艾迪康医学检验实验室有限公司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长春佰圣医学检验实验室有限公司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长春博奥医学检验所有限公司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长春迪安医学检验所有限公司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长春吉卡医学检验实验室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长春寰基医学检验实验室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吉林三基医学检验实验室有限公司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长春久和医学检验实验室有限公司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长春丹顶鹤医学检验实验室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吉林瑞特医学检验有限公司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吉林市阿麦客医学检验有限公司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="宋体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4" w:type="default"/>
      <w:pgSz w:w="11906" w:h="16838"/>
      <w:pgMar w:top="2211" w:right="1701" w:bottom="2269" w:left="1701" w:header="851" w:footer="992" w:gutter="0"/>
      <w:cols w:space="72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altName w:val="Meiryo UI"/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2021-03-11T09:22:00Z</dcterms:created>
  <dc:creator>阿斌</dc:creator>
  <cp:lastModifiedBy>lwd</cp:lastModifiedBy>
  <dcterms:modified xsi:type="dcterms:W3CDTF">2021-06-22T05:35:07Z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KSOSaveFontToCloudKey">
    <vt:lpwstr>601241360_embed</vt:lpwstr>
  </property>
</Properties>
</file>