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请考生自收到资格审查公告之日起开始自测至现场资格审查当天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-3中填写并作出承诺，经查验合格方可参加考试。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3、有国（境）外旅居史的人员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来鲁前14天内有国内中、高风险地区旅居史的人员，疫情中、高风险地区本次疫情传播链首例病例确诊前14天内来鲁的人员和其他疫情重点地区来鲁的人员，以上人员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必须提前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桓台县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0533-8227658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）申报，并按照疫情防控有关规定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eastAsia="zh-CN"/>
        </w:rPr>
        <w:t>资格审查前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资格审查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</w:t>
      </w:r>
      <w:bookmarkStart w:id="0" w:name="_GoBack"/>
      <w:bookmarkEnd w:id="0"/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23393DD2"/>
    <w:rsid w:val="31EF2604"/>
    <w:rsid w:val="376334A2"/>
    <w:rsid w:val="4C92735B"/>
    <w:rsid w:val="6AF066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26</TotalTime>
  <ScaleCrop>false</ScaleCrop>
  <LinksUpToDate>false</LinksUpToDate>
  <CharactersWithSpaces>2907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宇航</cp:lastModifiedBy>
  <cp:lastPrinted>2021-06-21T06:09:10Z</cp:lastPrinted>
  <dcterms:modified xsi:type="dcterms:W3CDTF">2021-06-21T06:10:31Z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