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黑体" w:eastAsia="黑体" w:hAnsi="黑体"/>
          <w:caps w:val="0"/>
        </w:rPr>
        <w:snapToGrid/>
        <w:textAlignment w:val="baseline"/>
      </w:pPr>
      <w:r>
        <w:rPr>
          <w:rStyle w:val="NormalCharacter"/>
          <w:szCs w:val="32"/>
          <w:kern w:val="2"/>
          <w:lang w:val="en-US" w:eastAsia="zh-CN" w:bidi="ar-SA"/>
          <w:b w:val="0"/>
          <w:i w:val="0"/>
          <w:sz w:val="32"/>
          <w:spacing w:val="0"/>
          <w:w w:val="100"/>
          <w:rFonts w:ascii="黑体" w:eastAsia="黑体" w:hAnsi="黑体"/>
          <w:caps w:val="0"/>
        </w:rPr>
        <w:t xml:space="preserve">附件2</w:t>
      </w:r>
    </w:p>
    <w:p>
      <w:pPr>
        <w:pStyle w:val="Normal"/>
        <w:jc w:val="center"/>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textAlignment w:val="baseline"/>
      </w:pPr>
      <w:r>
        <w:rPr>
          <w:rStyle w:val="NormalCharacter"/>
          <w:szCs w:val="44"/>
          <w:kern w:val="2"/>
          <w:lang w:val="en-US" w:eastAsia="zh-CN" w:bidi="ar-SA"/>
          <w:b w:val="0"/>
          <w:i w:val="0"/>
          <w:sz w:val="44"/>
          <w:spacing w:val="0"/>
          <w:w w:val="100"/>
          <w:rFonts w:ascii="黑体" w:eastAsia="黑体" w:hAnsi="黑体"/>
          <w:caps w:val="0"/>
        </w:rPr>
        <w:t xml:space="preserve">考生防疫须知</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为保障广大考生和考务工作人员生命安全和身体健康，确保招聘考试工作安全进行，请所有考生知悉、理解、配合、支持事业单位公开招聘考试的防疫措施和要求。</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1.考生须于报名之日起申领河北“健康码”（打开微信→搜索“冀时办”→选择“冀时办小程序”→按提示进行授权登录→首页点击“出示码”→确认授权认证身份后点击“立即领取”→输入当前居住地址和近期情况后点击提交）。</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2.目前在国内中、高风险地区和国（境）外旅居的考生，须于笔试前完成疫情防控规定的隔离观察时间，并按时到达考点。笔试前，如出现发热、乏力、咳嗽、呼吸困难、腹泻等症状，须及时就医并</w:t>
      </w:r>
      <w:r>
        <w:rPr>
          <w:rStyle w:val="NormalCharacter"/>
          <w:szCs w:val="30"/>
          <w:kern w:val="2"/>
          <w:lang w:val="en-US" w:eastAsia="zh-CN" w:bidi="ar-SA"/>
          <w:b w:val="0"/>
          <w:i w:val="0"/>
          <w:color w:val="000000"/>
          <w:sz w:val="30"/>
          <w:spacing w:val="0"/>
          <w:w w:val="100"/>
          <w:rFonts w:ascii="仿宋" w:eastAsia="仿宋" w:hAnsi="仿宋"/>
          <w:caps w:val="0"/>
        </w:rPr>
        <w:t xml:space="preserve">提交</w:t>
      </w:r>
      <w:r>
        <w:rPr>
          <w:rStyle w:val="NormalCharacter"/>
          <w:szCs w:val="30"/>
          <w:kern w:val="2"/>
          <w:lang w:val="en-US" w:eastAsia="zh-CN" w:bidi="ar-SA"/>
          <w:b w:val="0"/>
          <w:i w:val="0"/>
          <w:color w:val="000000"/>
          <w:sz w:val="30"/>
          <w:spacing w:val="0"/>
          <w:w w:val="100"/>
          <w:rFonts w:ascii="仿宋" w:eastAsia="仿宋" w:hAnsi="仿宋"/>
          <w:caps w:val="0"/>
        </w:rPr>
        <w:t xml:space="preserve">诊断结果。</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3.因有相关旅居史、密切接触史等被集中隔离，笔试当天不能到达考点的；或考试前7日内核酸检测结果呈阳性，仍处于新冠肺炎治疗期或出院观察期，以及因其他个人原因无法参加笔试的考生，视同放弃考试资格。</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4.考生应提前</w:t>
      </w:r>
      <w:r>
        <w:rPr>
          <w:rStyle w:val="NormalCharacter"/>
          <w:szCs w:val="30"/>
          <w:kern w:val="2"/>
          <w:lang w:val="en-US" w:eastAsia="zh-CN" w:bidi="ar-SA"/>
          <w:b w:val="0"/>
          <w:i w:val="0"/>
          <w:color w:val="000000"/>
          <w:sz w:val="30"/>
          <w:spacing w:val="0"/>
          <w:w w:val="100"/>
          <w:rFonts w:ascii="仿宋" w:eastAsia="仿宋" w:hAnsi="仿宋"/>
          <w:caps w:val="0"/>
        </w:rPr>
        <w:t xml:space="preserve">半</w:t>
      </w:r>
      <w:r>
        <w:rPr>
          <w:rStyle w:val="NormalCharacter"/>
          <w:szCs w:val="30"/>
          <w:kern w:val="2"/>
          <w:lang w:val="en-US" w:eastAsia="zh-CN" w:bidi="ar-SA"/>
          <w:b w:val="0"/>
          <w:i w:val="0"/>
          <w:color w:val="000000"/>
          <w:sz w:val="30"/>
          <w:spacing w:val="0"/>
          <w:w w:val="100"/>
          <w:rFonts w:ascii="仿宋" w:eastAsia="仿宋" w:hAnsi="仿宋"/>
          <w:caps w:val="0"/>
        </w:rPr>
        <w:t xml:space="preserve">小时赶到考点，主动出示本人有效身份证、《准考证》、河北健康码“绿码”，并按要求主动接受体温测量。持非绿码的考生（第3条之外其他考生、且无新冠肺炎相关症状），须提供笔试前7日内在当地政府或卫生健康部门指定检测机构出具的核酸检测阴性证明。</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5.进入考点、参加考试期间，考生除身份核验、面试答题环节外须全程佩戴医用口罩。考生须听从考点工作人员指挥，分散进入考场，进出考场、如厕时均须与他人保持1米以上距离，避免近距离接触交流。</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6</w:t>
      </w:r>
      <w:r>
        <w:rPr>
          <w:rStyle w:val="NormalCharacter"/>
          <w:szCs w:val="30"/>
          <w:kern w:val="2"/>
          <w:lang w:val="en-US" w:eastAsia="zh-CN" w:bidi="ar-SA"/>
          <w:b w:val="0"/>
          <w:i w:val="0"/>
          <w:color w:val="000000"/>
          <w:sz w:val="30"/>
          <w:spacing w:val="0"/>
          <w:w w:val="100"/>
          <w:rFonts w:ascii="仿宋" w:eastAsia="仿宋" w:hAnsi="仿宋"/>
          <w:caps w:val="0"/>
        </w:rPr>
        <w:t xml:space="preserve">.</w:t>
      </w:r>
      <w:r>
        <w:rPr>
          <w:rStyle w:val="NormalCharacter"/>
          <w:szCs w:val="32"/>
          <w:kern w:val="0"/>
          <w:lang w:val="en-US" w:eastAsia="zh-CN" w:bidi="ar-SA"/>
          <w:b w:val="0"/>
          <w:i w:val="0"/>
          <w:sz w:val="32"/>
          <w:spacing w:val="0"/>
          <w:w w:val="100"/>
          <w:rFonts w:ascii="仿宋" w:eastAsia="仿宋" w:hAnsi="仿宋"/>
          <w:caps w:val="0"/>
        </w:rPr>
        <w:t xml:space="preserve">笔试、</w:t>
      </w:r>
      <w:r>
        <w:rPr>
          <w:rStyle w:val="NormalCharacter"/>
          <w:szCs w:val="32"/>
          <w:kern w:val="0"/>
          <w:lang w:val="en-US" w:eastAsia="zh-CN" w:bidi="ar-SA"/>
          <w:b w:val="0"/>
          <w:i w:val="0"/>
          <w:sz w:val="32"/>
          <w:spacing w:val="0"/>
          <w:w w:val="100"/>
          <w:rFonts w:ascii="仿宋" w:eastAsia="仿宋" w:hAnsi="仿宋"/>
          <w:caps w:val="0"/>
        </w:rPr>
        <w:t xml:space="preserve">体能测试</w:t>
      </w:r>
      <w:r>
        <w:rPr>
          <w:rStyle w:val="NormalCharacter"/>
          <w:szCs w:val="30"/>
          <w:kern w:val="2"/>
          <w:lang w:val="en-US" w:eastAsia="zh-CN" w:bidi="ar-SA"/>
          <w:b w:val="0"/>
          <w:i w:val="0"/>
          <w:color w:val="000000"/>
          <w:sz w:val="30"/>
          <w:spacing w:val="0"/>
          <w:w w:val="100"/>
          <w:rFonts w:ascii="仿宋" w:eastAsia="仿宋" w:hAnsi="仿宋"/>
          <w:caps w:val="0"/>
        </w:rPr>
        <w:t xml:space="preserve">、面试、体检、考核等程序均严格按以上防疫要求落实。</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7</w:t>
      </w:r>
      <w:r>
        <w:rPr>
          <w:rStyle w:val="NormalCharacter"/>
          <w:szCs w:val="30"/>
          <w:kern w:val="2"/>
          <w:lang w:val="en-US" w:eastAsia="zh-CN" w:bidi="ar-SA"/>
          <w:b w:val="0"/>
          <w:i w:val="0"/>
          <w:color w:val="000000"/>
          <w:sz w:val="30"/>
          <w:spacing w:val="0"/>
          <w:w w:val="100"/>
          <w:rFonts w:ascii="仿宋" w:eastAsia="仿宋" w:hAnsi="仿宋"/>
          <w:caps w:val="0"/>
        </w:rPr>
        <w:t xml:space="preserve">.考生应当切实增加疫情防控意识，做好个人防护工作。考试前主动减少外出和不必要的聚集、人员接触，不到人群拥挤、通风不好的场所，不到疫情防控处于中高风险等级的地区，乘坐公共交通工具时应注意规避疫情风险。</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请广大考生自觉做到诚实守信，考试前注意做好个人防护，合理选择交通方式出行，以免影响考试。凡违反我省常态化疫情防控有关规定，刻意隐瞒病情或者不如实报告发热史、旅居史和疫情接触史等疫情防控重点信息的考生，将依法依规追究责任。  </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color w:val="000000"/>
          <w:sz w:val="30"/>
          <w:spacing w:val="0"/>
          <w:w w:val="100"/>
          <w:rFonts w:ascii="仿宋" w:eastAsia="仿宋" w:hAnsi="仿宋"/>
          <w:caps w:val="0"/>
        </w:rPr>
        <w:t xml:space="preserve">公告发布后，如疫情防控态势突发重大变化，将按照上级指示精神，酌情调整变更相关工作安排。</w:t>
      </w:r>
    </w:p>
    <w:p>
      <w:pPr>
        <w:pStyle w:val="Normal"/>
        <w:jc w:val="center"/>
        <w:spacing w:before="0" w:beforeAutospacing="0" w:after="0" w:afterAutospacing="0" w:lineRule="auto" w:line="240"/>
        <w:rPr>
          <w:rStyle w:val="NormalCharacter"/>
          <w:szCs w:val="44"/>
          <w:kern w:val="2"/>
          <w:lang w:val="en-US" w:eastAsia="zh-CN" w:bidi="ar-SA"/>
          <w:b w:val="0"/>
          <w:i w:val="0"/>
          <w:sz w:val="44"/>
          <w:spacing w:val="0"/>
          <w:w w:val="100"/>
          <w:rFonts w:ascii="黑体" w:eastAsia="黑体" w:hAnsi="黑体"/>
          <w:caps w:val="0"/>
        </w:rPr>
        <w:snapToGrid/>
        <w:textAlignment w:val="baseline"/>
      </w:pPr>
      <w:r>
        <w:rPr>
          <w:b w:val="0"/>
          <w:i w:val="0"/>
          <w:sz w:val="44"/>
          <w:spacing w:val="0"/>
          <w:w w:val="100"/>
          <w:rFonts w:ascii="黑体" w:eastAsia="黑体" w:hAnsi="黑体"/>
          <w:caps w:val="0"/>
        </w:rPr>
        <w:t/>
      </w:r>
    </w:p>
    <w:p>
      <w:pPr>
        <w:pStyle w:val="Normal"/>
        <w:jc w:val="both"/>
        <w:spacing w:before="0" w:beforeAutospacing="0" w:after="0" w:afterAutospacing="0" w:lineRule="auto" w:line="240"/>
        <w:rPr>
          <w:rStyle w:val="NormalCharacter"/>
          <w:szCs w:val="30"/>
          <w:kern w:val="2"/>
          <w:lang w:val="en-US" w:eastAsia="zh-CN" w:bidi="ar-SA"/>
          <w:b w:val="0"/>
          <w:i w:val="0"/>
          <w:color w:val="000000"/>
          <w:sz w:val="30"/>
          <w:spacing w:val="0"/>
          <w:w w:val="100"/>
          <w:rFonts w:ascii="仿宋" w:eastAsia="仿宋" w:hAnsi="仿宋"/>
          <w:caps w:val="0"/>
        </w:rPr>
        <w:snapToGrid/>
        <w:ind w:firstLine="600" w:firstLineChars="200"/>
        <w:textAlignment w:val="baseline"/>
      </w:pPr>
      <w:r>
        <w:rPr>
          <w:b w:val="0"/>
          <w:i w:val="0"/>
          <w:color w:val="000000"/>
          <w:sz w:val="30"/>
          <w:spacing w:val="0"/>
          <w:w w:val="100"/>
          <w:rFonts w:ascii="仿宋" w:eastAsia="仿宋" w:hAnsi="仿宋"/>
          <w:caps w:val="0"/>
        </w:rPr>
        <w:t/>
      </w:r>
    </w:p>
    <w:sectPr>
      <w:footerReference w:type="default" r:id="rId3"/>
      <w:type w:val="nextPage"/>
      <w:pgSz w:h="16838" w:w="11906" w:orient="portrait"/>
      <w:pgMar w:gutter="0" w:header="851" w:top="1327" w:bottom="127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Calibri">
    <w:altName w:val="Calibri"/>
    <w:charset w:val="00"/>
    <w:family w:val="swiss"/>
    <w:panose1 w:val="020f0502020204030204"/>
    <w:pitch w:val="default"/>
    <w:sig w:usb0="e4002eff" w:usb1="c000247b" w:usb2="00000009" w:usb3="00000000" w:csb0="200001ff" w:csb1="00000000"/>
  </w:font>
  <w:font w:name="宋体">
    <w:altName w:val="宋体"/>
    <w:charset w:val="86"/>
    <w:family w:val="auto"/>
    <w:panose1 w:val="02010600030101010101"/>
    <w:pitch w:val="default"/>
    <w:sig w:usb0="00000003" w:usb1="288f0000" w:usb2="00000006" w:usb3="00000000" w:csb0="00040001" w:csb1="00000000"/>
  </w:font>
  <w:font w:name="Times New Roman">
    <w:altName w:val="Times New Roman"/>
    <w:charset w:val="00"/>
    <w:family w:val="auto"/>
    <w:panose1 w:val="02020603050405020304"/>
    <w:pitch w:val="default"/>
    <w:sig w:usb0="e0002eff" w:usb1="c000785b" w:usb2="00000009" w:usb3="00000000" w:csb0="400001ff" w:csb1="00000000"/>
  </w:font>
  <w:font w:name="黑体">
    <w:altName w:val="黑体"/>
    <w:charset w:val="86"/>
    <w:family w:val="auto"/>
    <w:panose1 w:val="02010609060101010101"/>
    <w:pitch w:val="default"/>
    <w:sig w:usb0="800002bf" w:usb1="38cf7cfa" w:usb2="00000016" w:usb3="00000000" w:csb0="00040001" w:csb1="00000000"/>
  </w:font>
  <w:font w:name="仿宋">
    <w:altName w:val="仿宋"/>
    <w:charset w:val="86"/>
    <w:family w:val="modern"/>
    <w:panose1 w:val="02010609060101010101"/>
    <w:pitch w:val="default"/>
    <w:sig w:usb0="800002bf" w:usb1="38cf7cfa" w:usb2="00000016" w:usb3="00000000" w:csb0="00040001"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r>
      <w:rPr>
        <w:rStyle w:val="NormalCharacter"/>
        <w:szCs w:val="18"/>
        <w:sz w:val="18"/>
        <w:kern w:val="2"/>
        <w:lang w:val="en-US" w:eastAsia="zh-CN" w:bidi="ar-SA"/>
      </w:rPr>
      <w:pict>
        <v:shape id="_x0000_s2049" type="#_x0000_t202" style="position:absolute;width:144.0pt;height:144.0pt;v-text-anchor:top;mso-position-horizontal:center;z-index:524288;mso-position-horizontal-relative:margin;" filled="f" stroked="f" coordsize="21600,21600">
          <v:shadow color="#808080"/>
          <v:textbox inset="0.0pt,0.0pt,0.0pt,0.0pt">
            <w:txbxContent>
              <w:p>
                <w:pPr>
                  <w:pStyle w:val="Footer"/>
                  <w:rPr>
                    <w:rStyle w:val="NormalCharacter"/>
                    <w:szCs w:val="18"/>
                    <w:sz w:val="18"/>
                    <w:kern w:val="2"/>
                    <w:lang w:val="en-US" w:eastAsia="zh-CN" w:bidi="ar-SA"/>
                    <w:rFonts w:eastAsia="宋体"/>
                  </w:rPr>
                  <w:widowControl/>
                  <w:tabs>
                    <w:tab w:leader="none" w:val="center" w:pos="4153"/>
                    <w:tab w:leader="none" w:val="right" w:pos="8306"/>
                  </w:tabs>
                  <w:snapToGrid w:val="0"/>
                  <w:jc w:val="left"/>
                  <w:textAlignment w:val="baseline"/>
                </w:pPr>
                <w:r>
                  <w:rPr>
                    <w:rStyle w:val="NormalCharacter"/>
                    <w:szCs w:val="18"/>
                    <w:sz w:val="18"/>
                    <w:kern w:val="2"/>
                    <w:lang w:val="en-US" w:eastAsia="zh-CN" w:bidi="ar-SA"/>
                  </w:rPr>
                </w:r>
              </w:p>
              <w:p>
                <w:pPr>
                  <w:pStyle w:val="UserStyle_0"/>
                  <w:rPr>
                    <w:rStyle w:val="NormalCharacter"/>
                    <w:b/>
                    <w:szCs w:val="20"/>
                    <w:sz w:val="44"/>
                    <w:kern w:val="44"/>
                    <w:rFonts w:ascii="Times New Roman" w:eastAsia="宋体" w:hAnsi="Times New Roman"/>
                  </w:rPr>
                  <w:widowControl/>
                  <w:textAlignment w:val="baseline"/>
                </w:pPr>
              </w:p>
            </w:txbxContent>
          </v:textbox>
        </v:shape>
      </w:pict>
    </w:r>
  </w:p>
</w:ftr>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2"/>
        <w:sz w:val="21"/>
        <w:kern w:val="2"/>
        <w:lang w:val="en-US" w:eastAsia="zh-CN" w:bidi="ar-SA"/>
      </w:rPr>
      <w:jc w:val="both"/>
      <w:textAlignment w:val="baseline"/>
    </w:pPr>
    <w:rPr>
      <w:szCs w:val="22"/>
      <w:sz w:val="21"/>
      <w:kern w:val="2"/>
      <w:lang w:val="en-US" w:eastAsia="zh-CN" w:bidi="ar-SA"/>
    </w:rPr>
  </w:style>
  <w:style w:type="paragraph" w:styleId="Heading1">
    <w:name w:val="Heading1"/>
    <w:basedOn w:val="Normal"/>
    <w:next w:val="Normal"/>
    <w:link w:val="UserStyle_0"/>
    <w:pPr>
      <w:rPr>
        <w:b/>
        <w:szCs w:val="20"/>
        <w:sz w:val="44"/>
        <w:kern w:val="44"/>
        <w:lang w:val="en-US" w:eastAsia="zh-CN" w:bidi="ar-SA"/>
        <w:rFonts w:ascii="Times New Roman" w:eastAsia="宋体" w:hAnsi="Times New Roman"/>
      </w:rPr>
      <w:keepLines/>
      <w:keepNext/>
      <w:framePr w:outlineLvl="0"/>
      <w:spacing w:line="576" w:after="330" w:before="340" w:lineRule="auto"/>
      <w:jc w:val="both"/>
      <w:textAlignment w:val="baseline"/>
    </w:pPr>
    <w:rPr>
      <w:b/>
      <w:szCs w:val="20"/>
      <w:sz w:val="44"/>
      <w:kern w:val="44"/>
      <w:lang w:val="en-US" w:eastAsia="zh-CN" w:bidi="ar-SA"/>
      <w:rFonts w:ascii="Times New Roman" w:eastAsia="宋体" w:hAnsi="Times New Roman"/>
    </w:rPr>
  </w:style>
  <w:style w:type="character" w:styleId="NormalCharacter">
    <w:name w:val="NormalCharacter"/>
    <w:next w:val="NormalCharacter"/>
    <w:link w:val="Normal"/>
  </w:style>
  <w:style w:type="table" w:styleId="TableNormal">
    <w:name w:val="TableNormal"/>
    <w:next w:val="TableNormal"/>
    <w:link w:val="Normal"/>
  </w:style>
  <w:style w:type="character" w:styleId="UserStyle_0">
    <w:name w:val="UserStyle_0"/>
    <w:next w:val="UserStyle_0"/>
    <w:link w:val="Heading1"/>
    <w:rPr>
      <w:b/>
      <w:szCs w:val="20"/>
      <w:sz w:val="44"/>
      <w:kern w:val="44"/>
      <w:rFonts w:ascii="Times New Roman" w:eastAsia="宋体" w:hAnsi="Times New Roman"/>
    </w:rPr>
  </w:style>
  <w:style w:type="paragraph" w:styleId="Footer">
    <w:name w:val="Footer"/>
    <w:basedOn w:val="Normal"/>
    <w:next w:val="Footer"/>
    <w:link w:val="UserStyle_1"/>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character" w:styleId="UserStyle_1">
    <w:name w:val="UserStyle_1"/>
    <w:next w:val="UserStyle_1"/>
    <w:link w:val="Footer"/>
    <w:semiHidden/>
    <w:rPr>
      <w:szCs w:val="18"/>
      <w:sz w:val="18"/>
      <w:kern w:val="2"/>
    </w:rPr>
  </w:style>
  <w:style w:type="paragraph" w:styleId="Header">
    <w:name w:val="Header"/>
    <w:basedOn w:val="Normal"/>
    <w:next w:val="Header"/>
    <w:link w:val="UserStyle_2"/>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character" w:styleId="UserStyle_2">
    <w:name w:val="UserStyle_2"/>
    <w:next w:val="UserStyle_2"/>
    <w:link w:val="Header"/>
    <w:semiHidden/>
    <w:rPr>
      <w:szCs w:val="18"/>
      <w:sz w:val="18"/>
      <w:kern w:val="2"/>
    </w:rPr>
  </w:style>
  <w:style w:type="paragraph" w:styleId="HtmlNormal">
    <w:name w:val="HtmlNormal"/>
    <w:basedOn w:val="Normal"/>
    <w:next w:val="HtmlNormal"/>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 w:type="paragraph" w:styleId="Null">
    <w:name w:val="Null"/>
    <w:next w:val="Null"/>
    <w:link w:val="Normal"/>
    <w:pPr>
      <w:rPr>
        <w:szCs w:val="22"/>
        <w:sz w:val="21"/>
        <w:kern w:val="2"/>
        <w:lang w:val="en-US" w:eastAsia="zh-CN" w:bidi="ar-SA"/>
      </w:rPr>
      <w:jc w:val="both"/>
      <w:textAlignment w:val="baseline"/>
    </w:pPr>
    <w:rPr>
      <w:szCs w:val="22"/>
      <w:sz w:val="21"/>
      <w:kern w:val="2"/>
      <w:lang w:val="en-US" w:eastAsia="zh-CN" w:bidi="ar-SA"/>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32"/>
          <w:sz w:val="32"/>
          <w:kern w:val="2"/>
          <w:lang w:val="en-US" w:eastAsia="zh-CN" w:bidi="ar-SA"/>
          <w:rFonts w:ascii="黑体" w:eastAsia="黑体" w:hAnsi="黑体"/>
        </w:rPr>
        <w:jc w:val="left"/>
        <w:textAlignment w:val="baseline"/>
      </w:pPr>
      <w:r>
        <w:rPr>
          <w:rStyle w:val="NormalCharacter"/>
          <w:szCs w:val="32"/>
          <w:sz w:val="32"/>
          <w:kern w:val="2"/>
          <w:lang w:val="en-US" w:eastAsia="zh-CN" w:bidi="ar-SA"/>
          <w:rFonts w:ascii="黑体" w:eastAsia="黑体" w:hAnsi="黑体"/>
        </w:rPr>
        <w:t xml:space="preserve">附件2</w:t>
      </w:r>
    </w:p>
    <w:p>
      <w:pPr>
        <w:pStyle w:val="Normal"/>
        <w:rPr>
          <w:rStyle w:val="NormalCharacter"/>
          <w:szCs w:val="30"/>
          <w:sz w:val="30"/>
          <w:kern w:val="2"/>
          <w:lang w:val="en-US" w:eastAsia="zh-CN" w:bidi="ar-SA"/>
          <w:rFonts w:ascii="仿宋" w:eastAsia="仿宋" w:hAnsi="仿宋"/>
          <w:color w:val="000000"/>
        </w:rPr>
        <w:jc w:val="center"/>
        <w:textAlignment w:val="baseline"/>
      </w:pPr>
      <w:r>
        <w:rPr>
          <w:rStyle w:val="NormalCharacter"/>
          <w:szCs w:val="44"/>
          <w:sz w:val="44"/>
          <w:kern w:val="2"/>
          <w:lang w:val="en-US" w:eastAsia="zh-CN" w:bidi="ar-SA"/>
          <w:rFonts w:ascii="黑体" w:eastAsia="黑体" w:hAnsi="黑体"/>
        </w:rPr>
        <w:t xml:space="preserve">考生防疫须知</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为保障广大考生和考务工作人员生命安全和身体健康，确保招聘考试工作安全进行，请所有考生知悉、理解、配合、支持事业单位公开招聘考试的防疫措施和要求。</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1.考生须于报名之日起申领河北“健康码”（打开微信→搜索“冀时办”→选择“冀时办小程序”→按提示进行授权登录→首页点击“出示码”→确认授权认证身份后点击“立即领取”→输入当前居住地址和近期情况后点击提交）。</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2.目前在国内中、高风险地区和国（境）外旅居的考生，须于笔试前完成疫情防控规定的隔离观察时间，并按时到达考点。笔试前14日内，如出现发热、乏力、咳嗽、呼吸困难、腹泻等症状，须及时就医并</w:t>
      </w:r>
      <w:r>
        <w:rPr>
          <w:rStyle w:val="NormalCharacter"/>
          <w:szCs w:val="30"/>
          <w:sz w:val="30"/>
          <w:kern w:val="2"/>
          <w:lang w:val="en-US" w:eastAsia="zh-CN" w:bidi="ar-SA"/>
          <w:rFonts w:ascii="仿宋" w:eastAsia="仿宋" w:hAnsi="仿宋"/>
          <w:color w:val="000000"/>
        </w:rPr>
        <w:t xml:space="preserve">提交</w:t>
      </w:r>
      <w:r>
        <w:rPr>
          <w:rStyle w:val="NormalCharacter"/>
          <w:szCs w:val="30"/>
          <w:sz w:val="30"/>
          <w:kern w:val="2"/>
          <w:lang w:val="en-US" w:eastAsia="zh-CN" w:bidi="ar-SA"/>
          <w:rFonts w:ascii="仿宋" w:eastAsia="仿宋" w:hAnsi="仿宋"/>
          <w:color w:val="000000"/>
        </w:rPr>
        <w:t xml:space="preserve">诊断结果。</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3.因有相关旅居史、密切接触史等被集中隔离，笔试当天不能到达考点的；考试前7日内核酸检测结果呈阳性，仍处于新冠肺炎治疗期或出院观察期，以及因其他个人原因无法参加笔试的考生，视同放弃考试资格。</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4.考生应提前</w:t>
      </w:r>
      <w:r>
        <w:rPr>
          <w:rStyle w:val="NormalCharacter"/>
          <w:szCs w:val="30"/>
          <w:sz w:val="30"/>
          <w:kern w:val="2"/>
          <w:lang w:val="en-US" w:eastAsia="zh-CN" w:bidi="ar-SA"/>
          <w:rFonts w:ascii="仿宋" w:eastAsia="仿宋" w:hAnsi="仿宋"/>
          <w:color w:val="000000"/>
        </w:rPr>
        <w:t xml:space="preserve">半</w:t>
      </w:r>
      <w:r>
        <w:rPr>
          <w:rStyle w:val="NormalCharacter"/>
          <w:szCs w:val="30"/>
          <w:sz w:val="30"/>
          <w:kern w:val="2"/>
          <w:lang w:val="en-US" w:eastAsia="zh-CN" w:bidi="ar-SA"/>
          <w:rFonts w:ascii="仿宋" w:eastAsia="仿宋" w:hAnsi="仿宋"/>
          <w:color w:val="000000"/>
        </w:rPr>
        <w:t xml:space="preserve">小时赶到考点，主动出示本人有效身份证、《准考证》、河北健康码“绿码”，并按要求主动接受体温测量。持非绿码的考生（第3条之外其他考生、且无新冠肺炎相关症状），须提供笔试前7日内在当地政府或卫生健康部门指定检测机构出具的核酸检测阴性证明。</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5.进入考点、参加考试期间，考生除身份核验、面试答题环节外须全程佩戴医用口罩。考生须听从考点工作人员指挥，分散进入考场，进出考场、如厕时均须与他人保持1米以上距离，避免近距离接触交流。</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6</w:t>
      </w:r>
      <w:r>
        <w:rPr>
          <w:rStyle w:val="NormalCharacter"/>
          <w:szCs w:val="30"/>
          <w:sz w:val="30"/>
          <w:kern w:val="2"/>
          <w:lang w:val="en-US" w:eastAsia="zh-CN" w:bidi="ar-SA"/>
          <w:rFonts w:ascii="仿宋" w:eastAsia="仿宋" w:hAnsi="仿宋"/>
          <w:color w:val="000000"/>
        </w:rPr>
        <w:t xml:space="preserve">.</w:t>
      </w:r>
      <w:r>
        <w:rPr>
          <w:rStyle w:val="NormalCharacter"/>
          <w:szCs w:val="32"/>
          <w:sz w:val="32"/>
          <w:kern w:val="0"/>
          <w:lang w:val="en-US" w:eastAsia="zh-CN" w:bidi="ar-SA"/>
          <w:rFonts w:ascii="仿宋" w:eastAsia="仿宋" w:hAnsi="仿宋"/>
        </w:rPr>
        <w:t xml:space="preserve">笔试、</w:t>
      </w:r>
      <w:r>
        <w:rPr>
          <w:rStyle w:val="NormalCharacter"/>
          <w:szCs w:val="32"/>
          <w:sz w:val="32"/>
          <w:kern w:val="0"/>
          <w:lang w:val="en-US" w:eastAsia="zh-CN" w:bidi="ar-SA"/>
          <w:rFonts w:ascii="仿宋" w:eastAsia="仿宋" w:hAnsi="仿宋"/>
        </w:rPr>
        <w:t xml:space="preserve">体能测试</w:t>
      </w:r>
      <w:r>
        <w:rPr>
          <w:rStyle w:val="NormalCharacter"/>
          <w:szCs w:val="30"/>
          <w:sz w:val="30"/>
          <w:kern w:val="2"/>
          <w:lang w:val="en-US" w:eastAsia="zh-CN" w:bidi="ar-SA"/>
          <w:rFonts w:ascii="仿宋" w:eastAsia="仿宋" w:hAnsi="仿宋"/>
          <w:color w:val="000000"/>
        </w:rPr>
        <w:t xml:space="preserve">、面试、体检、考核等程序均严格按以上防疫要求落实。</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7</w:t>
      </w:r>
      <w:r>
        <w:rPr>
          <w:rStyle w:val="NormalCharacter"/>
          <w:szCs w:val="30"/>
          <w:sz w:val="30"/>
          <w:kern w:val="2"/>
          <w:lang w:val="en-US" w:eastAsia="zh-CN" w:bidi="ar-SA"/>
          <w:rFonts w:ascii="仿宋" w:eastAsia="仿宋" w:hAnsi="仿宋"/>
          <w:color w:val="000000"/>
        </w:rPr>
        <w:t xml:space="preserve">.考生应当切实增加疫情防控意识，做好个人防护工作。考试前主动减少外出和不必要的聚集、人员接触，不到人群拥挤、通风不好的场所，不到疫情防控处于中高风险等级的地区，乘坐公共交通工具时应注意规避疫情风险。</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请广大考生自觉做到诚实守信，考试前注意做好个人防护，合理选择交通方式出行，以免影响考试。凡违反我省常态化疫情防控有关规定，刻意隐瞒病情或者不如实报告发热史、旅居史和疫情接触史等疫情防控重点信息的考生，将依法依规追究责任。  </w:t>
      </w: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r>
        <w:rPr>
          <w:rStyle w:val="NormalCharacter"/>
          <w:szCs w:val="30"/>
          <w:sz w:val="30"/>
          <w:kern w:val="2"/>
          <w:lang w:val="en-US" w:eastAsia="zh-CN" w:bidi="ar-SA"/>
          <w:rFonts w:ascii="仿宋" w:eastAsia="仿宋" w:hAnsi="仿宋"/>
          <w:color w:val="000000"/>
        </w:rPr>
        <w:t xml:space="preserve">公告发布后，如疫情防控态势突发重大变化，将按照上级指示精神，酌情调整变更相关工作安排。</w:t>
      </w:r>
    </w:p>
    <w:p>
      <w:pPr>
        <w:pStyle w:val="Normal"/>
        <w:rPr>
          <w:rStyle w:val="NormalCharacter"/>
          <w:szCs w:val="44"/>
          <w:sz w:val="44"/>
          <w:kern w:val="2"/>
          <w:lang w:val="en-US" w:eastAsia="zh-CN" w:bidi="ar-SA"/>
          <w:rFonts w:ascii="黑体" w:eastAsia="黑体" w:hAnsi="黑体"/>
        </w:rPr>
        <w:jc w:val="center"/>
        <w:textAlignment w:val="baseline"/>
      </w:pPr>
    </w:p>
    <w:p>
      <w:pPr>
        <w:pStyle w:val="Normal"/>
        <w:rPr>
          <w:rStyle w:val="NormalCharacter"/>
          <w:szCs w:val="30"/>
          <w:sz w:val="30"/>
          <w:kern w:val="2"/>
          <w:lang w:val="en-US" w:eastAsia="zh-CN" w:bidi="ar-SA"/>
          <w:rFonts w:ascii="仿宋" w:eastAsia="仿宋" w:hAnsi="仿宋"/>
          <w:color w:val="000000"/>
        </w:rPr>
        <w:ind w:firstLine="600" w:firstLineChars="200"/>
        <w:jc w:val="both"/>
        <w:textAlignment w:val="baseline"/>
      </w:pPr>
    </w:p>
    <w:sectPr>
      <w:footerReference w:type="default" r:id="rId3"/>
      <w:vAlign w:val="top"/>
      <w:type w:val="nextPage"/>
      <w:pgSz w:h="16838" w:w="11906" w:orient="portrait"/>
      <w:pgMar w:gutter="0" w:header="851" w:top="1327" w:bottom="1270" w:footer="992" w:left="1800" w:right="1800"/>
      <w:lnNumType w:countBy="0"/>
      <w:paperSrc w:first="0" w:other="0"/>
      <w:cols w:space="425" w:num="1"/>
      <w:docGrid w:charSpace="0" w:linePitch="312" w:type="lines"/>
    </w:sectPr>
  </w:body>
</w:document>
</file>

<file path=treport/opRecord.xml>p_4(0);p_5(0);
</file>