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忠县人力资源和社会保障局关于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开展拟聘用事业单位工作人员体检工作的通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《重庆市事业单位公开招聘人员实施办法》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和招聘简章规定，现就忠县公开（考核）招聘事业单位工作人员体检工作通知如下：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一、体检对象：</w:t>
      </w:r>
    </w:p>
    <w:p>
      <w:pPr>
        <w:pStyle w:val="3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1.按照2021年1月28日在重庆市人力资源和社会保障局官网发布《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忠县2021年第一季度考核招聘事业单位工作人员简章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》的要求，通过考核进入体检程序的应届毕业生7人；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2.按照2021年4月9日在重庆市人力资源和社会保障局官网发布《忠县2021年第二季度公开招聘事业单位工作人员简章》的要求，通过考试（笔试和面试）进入体检程序的考生69人；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3.按照2021年4月22日在重庆市人力资源和社会保障局官网发布《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"http://rlsbj.cq.gov.cn/zwxx_182/sydw/202104/t20210422_9205193.html" \o "2021年上半年重庆市事业单位集中考核招聘工作人员公告" \t "http://rlsbj.cq.gov.cn/zwxx_182/sydw/_blank"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2021年上半年重庆市事业单位集中考核招聘工作人员公告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》的要求，通过考核进入体检程序的考生4人。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二、报到时间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2021年6月7日（星期一）早上6：40——7：00。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三、报到地点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忠县人力资源和社会保障局五楼会议室。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1.6月6日（星期日）清淡饮食，6月7日（星期一）早上空腹；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2.带齐身份证、准考证、彩色免冠2寸证照1张，体检费（现金600元）；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3.未按时报到、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违反规定或弄虚作假者，一经查实，取消聘用资格，并严格按照有关规定追究责任人的责任。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（联系人：张老师、罗老师；联系电话：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023－54246481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895" w:leftChars="304" w:right="0" w:rightChars="0" w:hanging="1257" w:hangingChars="393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1.忠县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2021年第一季度考核招聘事业单位工作人员体检名册；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894" w:leftChars="800" w:right="0" w:rightChars="0" w:hanging="214" w:hangingChars="67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2.忠县2021年第二季度公开招聘事业单位工作人员考试体检名册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894" w:leftChars="800" w:right="0" w:rightChars="0" w:hanging="214" w:hangingChars="67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3.重庆市事业单位集中考核招聘体检人员名册（忠县B类岗位）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894" w:leftChars="800" w:right="0" w:rightChars="0" w:hanging="214" w:hangingChars="67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000" w:firstLineChars="1250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忠县人力资源和社会保障局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38" w:firstLineChars="1512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2021年6月2日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忠县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2021年第一季度考核招聘事业单位工作人员体检名册</w:t>
      </w:r>
    </w:p>
    <w:tbl>
      <w:tblPr>
        <w:tblStyle w:val="5"/>
        <w:tblpPr w:leftFromText="180" w:rightFromText="180" w:vertAnchor="text" w:horzAnchor="page" w:tblpX="1286" w:tblpY="432"/>
        <w:tblOverlap w:val="never"/>
        <w:tblW w:w="9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009"/>
        <w:gridCol w:w="1742"/>
        <w:gridCol w:w="1351"/>
        <w:gridCol w:w="984"/>
        <w:gridCol w:w="957"/>
        <w:gridCol w:w="957"/>
        <w:gridCol w:w="957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忠县发展研究中心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忠县发展研究中心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经济研究岗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忠县发展研究中心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经济研究岗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忠县发展研究中心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金融研究岗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忠县经济信息中心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忠县企业服务中心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忠县2021年第二季度公开招聘事业单位工作人员考试体检名册</w:t>
      </w:r>
    </w:p>
    <w:tbl>
      <w:tblPr>
        <w:tblStyle w:val="5"/>
        <w:tblW w:w="9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3586"/>
        <w:gridCol w:w="1288"/>
        <w:gridCol w:w="1316"/>
        <w:gridCol w:w="684"/>
        <w:gridCol w:w="584"/>
        <w:gridCol w:w="628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忠县社会治安综合治理信息中心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忠县网络安全和信息中心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忠县网络安全和信息中心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网络宣传岗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忠县网络安全和信息中心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忠县网络安全和信息中心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忠县网络安全和信息中心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忠县新时代文明实践服务中心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忠县新时代文明实践服务中心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忠县新时代文明实践服务中心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忠县新时代文明实践服务中心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忠县融媒体中心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美术编辑岗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忠县残疾人服务中心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忠县残疾人服务中心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婚姻登记处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忠县社会福利指导中心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忠县社会福利指导中心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忠县自然灾害预警预防管理中心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预报预警岗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忠县环境卫生事务中心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忠县经济信息中心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信息统计岗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忠县生态环境监测站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生态宣传岗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忠县商务信息中心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英语翻译岗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忠县农村电子商务发展中心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忠县农村电子商务发展中心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忠县科普中心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科普解说岗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忠县大数据中心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忠县大数据中心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忠县不动产登记中心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忠县国土整治中心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忠县国土整治中心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土地规划岗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忠县农业环境监测站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忠县农田基本建设服务中心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忠县住房保障中心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忠县住房保障中心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忠县建设工程质量中心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质量监督岗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忠县港航事业管理中心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港航管理岗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忠县港航事业管理中心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海事应急岗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忠县交通工程质量安全中心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忠县交通工程质量安全中心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质量监督岗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忠县公路养护中心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忠县公路养护中心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景观绿化岗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忠县公路养护中心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景观绿化岗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忠县公路养护中心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桥隧照明管护岗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忠县交通运行监测与应急调度中心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忠县交通运行监测与应急调度中心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运行调度岗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忠县交通运输档案管理中心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忠县文化旅游发展中心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忠县文化旅游发展中心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忠县文物保护中心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文博解说岗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忠县图书馆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忠县工业园区信息科技服务中心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忠县工业园区信息科技服务中心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园区生态岗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忠县工业园区信息科技服务中心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乡镇综合行政执法大队（花桥镇、汝溪镇）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乡镇执法岗1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乡镇综合行政执法大队（花桥镇、汝溪镇）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乡镇执法岗2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乡镇综合行政执法大队（汝溪镇、石黄镇）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乡镇执法岗3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乡镇综合行政执法大队（汝溪镇、石黄镇）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乡镇执法岗4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花桥镇劳动就业和社会保障服务所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花桥镇农业服务中心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石黄镇农业服务中心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石黄镇农业服务中心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双桂镇农业服务中心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双桂镇农业服务中心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金声乡劳动和就业保障服务所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忠县汝溪镇劳动就业和社会保障服务所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忠县汝溪镇劳动就业和社会保障服务所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忠县汝溪镇退役军人服务站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黄金镇综合行政执法大队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金鸡镇综合行政执法大队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综合执法岗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金鸡镇文化服务中心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群众文化岗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14232015716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-SA"/>
        </w:rPr>
        <w:t>重庆市事业单位集中考核招聘体检人员名册（忠县B类岗位）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-SA"/>
        </w:rPr>
      </w:pPr>
    </w:p>
    <w:tbl>
      <w:tblPr>
        <w:tblStyle w:val="5"/>
        <w:tblW w:w="9419" w:type="dxa"/>
        <w:tblInd w:w="-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2758"/>
        <w:gridCol w:w="1345"/>
        <w:gridCol w:w="895"/>
        <w:gridCol w:w="1051"/>
        <w:gridCol w:w="876"/>
        <w:gridCol w:w="662"/>
        <w:gridCol w:w="71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招聘单位</w:t>
            </w:r>
          </w:p>
        </w:tc>
        <w:tc>
          <w:tcPr>
            <w:tcW w:w="13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0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身份证号后6位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考核总成绩</w:t>
            </w:r>
          </w:p>
        </w:tc>
        <w:tc>
          <w:tcPr>
            <w:tcW w:w="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总成绩排名</w:t>
            </w:r>
          </w:p>
        </w:tc>
        <w:tc>
          <w:tcPr>
            <w:tcW w:w="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是否进入体检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忠县经济信息中心</w:t>
            </w:r>
          </w:p>
        </w:tc>
        <w:tc>
          <w:tcPr>
            <w:tcW w:w="13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经济分析岗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范丽婷</w:t>
            </w:r>
          </w:p>
        </w:tc>
        <w:tc>
          <w:tcPr>
            <w:tcW w:w="10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043449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70.9</w:t>
            </w:r>
          </w:p>
        </w:tc>
        <w:tc>
          <w:tcPr>
            <w:tcW w:w="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忠县经济信息中心</w:t>
            </w:r>
          </w:p>
        </w:tc>
        <w:tc>
          <w:tcPr>
            <w:tcW w:w="13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信息技术岗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成天英</w:t>
            </w:r>
          </w:p>
        </w:tc>
        <w:tc>
          <w:tcPr>
            <w:tcW w:w="10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188248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85.2</w:t>
            </w:r>
          </w:p>
        </w:tc>
        <w:tc>
          <w:tcPr>
            <w:tcW w:w="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忠县国有资产事务管理中心</w:t>
            </w:r>
          </w:p>
        </w:tc>
        <w:tc>
          <w:tcPr>
            <w:tcW w:w="13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企业管理岗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张洪宁</w:t>
            </w:r>
          </w:p>
        </w:tc>
        <w:tc>
          <w:tcPr>
            <w:tcW w:w="10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287564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80</w:t>
            </w:r>
          </w:p>
        </w:tc>
        <w:tc>
          <w:tcPr>
            <w:tcW w:w="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忠县财政投资评审中心</w:t>
            </w:r>
          </w:p>
        </w:tc>
        <w:tc>
          <w:tcPr>
            <w:tcW w:w="13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财务会计岗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胡丁文</w:t>
            </w:r>
          </w:p>
        </w:tc>
        <w:tc>
          <w:tcPr>
            <w:tcW w:w="10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100064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87</w:t>
            </w:r>
          </w:p>
        </w:tc>
        <w:tc>
          <w:tcPr>
            <w:tcW w:w="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300" w:afterAutospacing="0" w:line="220" w:lineRule="exact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</w:t>
            </w:r>
          </w:p>
        </w:tc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5EB4"/>
    <w:rsid w:val="2087062C"/>
    <w:rsid w:val="34C43F96"/>
    <w:rsid w:val="3B502993"/>
    <w:rsid w:val="467A7B05"/>
    <w:rsid w:val="4F5A55ED"/>
    <w:rsid w:val="522A5EB4"/>
    <w:rsid w:val="65F0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cur"/>
    <w:basedOn w:val="6"/>
    <w:qFormat/>
    <w:uiPriority w:val="0"/>
    <w:rPr>
      <w:shd w:val="clear" w:fill="FFFFFF"/>
    </w:rPr>
  </w:style>
  <w:style w:type="character" w:customStyle="1" w:styleId="12">
    <w:name w:val="cur1"/>
    <w:basedOn w:val="6"/>
    <w:qFormat/>
    <w:uiPriority w:val="0"/>
    <w:rPr>
      <w:color w:val="3354A2"/>
    </w:rPr>
  </w:style>
  <w:style w:type="character" w:customStyle="1" w:styleId="13">
    <w:name w:val="cur2"/>
    <w:basedOn w:val="6"/>
    <w:qFormat/>
    <w:uiPriority w:val="0"/>
    <w:rPr>
      <w:shd w:val="clear" w:fill="0662B1"/>
    </w:rPr>
  </w:style>
  <w:style w:type="character" w:customStyle="1" w:styleId="14">
    <w:name w:val="tyhl"/>
    <w:basedOn w:val="6"/>
    <w:qFormat/>
    <w:uiPriority w:val="0"/>
    <w:rPr>
      <w:shd w:val="clear" w:fill="FFFFFF"/>
    </w:rPr>
  </w:style>
  <w:style w:type="character" w:customStyle="1" w:styleId="15">
    <w:name w:val="con4"/>
    <w:basedOn w:val="6"/>
    <w:qFormat/>
    <w:uiPriority w:val="0"/>
  </w:style>
  <w:style w:type="character" w:customStyle="1" w:styleId="16">
    <w:name w:val="red"/>
    <w:basedOn w:val="6"/>
    <w:qFormat/>
    <w:uiPriority w:val="0"/>
    <w:rPr>
      <w:color w:val="E33938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  <w:u w:val="single"/>
    </w:rPr>
  </w:style>
  <w:style w:type="character" w:customStyle="1" w:styleId="20">
    <w:name w:val="red4"/>
    <w:basedOn w:val="6"/>
    <w:qFormat/>
    <w:uiPriority w:val="0"/>
    <w:rPr>
      <w:color w:val="E1211F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paragraph" w:customStyle="1" w:styleId="22">
    <w:name w:val="tit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23">
    <w:name w:val="tit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paragraph" w:customStyle="1" w:styleId="24">
    <w:name w:val="ti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5">
    <w:name w:val="tit4"/>
    <w:basedOn w:val="1"/>
    <w:qFormat/>
    <w:uiPriority w:val="0"/>
    <w:pPr>
      <w:spacing w:before="300" w:beforeAutospacing="0" w:after="60" w:afterAutospacing="0"/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26">
    <w:name w:val="tit6"/>
    <w:basedOn w:val="1"/>
    <w:qFormat/>
    <w:uiPriority w:val="0"/>
    <w:pPr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27">
    <w:name w:val="tit8"/>
    <w:basedOn w:val="1"/>
    <w:qFormat/>
    <w:uiPriority w:val="0"/>
    <w:pPr>
      <w:spacing w:before="0" w:beforeAutospacing="0" w:after="0" w:afterAutospacing="0" w:line="330" w:lineRule="atLeast"/>
      <w:ind w:left="60" w:right="840"/>
      <w:jc w:val="left"/>
      <w:textAlignment w:val="center"/>
    </w:pPr>
    <w:rPr>
      <w:b/>
      <w:color w:val="2760B7"/>
      <w:kern w:val="0"/>
      <w:sz w:val="27"/>
      <w:szCs w:val="27"/>
      <w:u w:val="single"/>
      <w:lang w:val="en-US" w:eastAsia="zh-CN" w:bidi="ar"/>
    </w:rPr>
  </w:style>
  <w:style w:type="paragraph" w:customStyle="1" w:styleId="28">
    <w:name w:val="tit10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29">
    <w:name w:val="tit12"/>
    <w:basedOn w:val="1"/>
    <w:qFormat/>
    <w:uiPriority w:val="0"/>
    <w:pPr>
      <w:pBdr>
        <w:top w:val="single" w:color="EE8101" w:sz="6" w:space="0"/>
        <w:left w:val="single" w:color="EE8101" w:sz="6" w:space="0"/>
        <w:bottom w:val="single" w:color="EE8101" w:sz="6" w:space="0"/>
        <w:right w:val="single" w:color="EE8101" w:sz="6" w:space="0"/>
      </w:pBdr>
      <w:shd w:val="clear" w:fill="1E84CB"/>
      <w:spacing w:before="30" w:beforeAutospacing="0" w:line="510" w:lineRule="atLeast"/>
      <w:jc w:val="center"/>
    </w:pPr>
    <w:rPr>
      <w:b/>
      <w:color w:val="FFFFFF"/>
      <w:kern w:val="0"/>
      <w:sz w:val="30"/>
      <w:szCs w:val="30"/>
      <w:lang w:val="en-US" w:eastAsia="zh-CN" w:bidi="ar"/>
    </w:rPr>
  </w:style>
  <w:style w:type="paragraph" w:customStyle="1" w:styleId="30">
    <w:name w:val="tit14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31">
    <w:name w:val="tit16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character" w:customStyle="1" w:styleId="32">
    <w:name w:val="hover46"/>
    <w:basedOn w:val="6"/>
    <w:qFormat/>
    <w:uiPriority w:val="0"/>
    <w:rPr>
      <w:b/>
    </w:rPr>
  </w:style>
  <w:style w:type="character" w:customStyle="1" w:styleId="33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4">
    <w:name w:val="name"/>
    <w:basedOn w:val="6"/>
    <w:qFormat/>
    <w:uiPriority w:val="0"/>
    <w:rPr>
      <w:color w:val="2760B7"/>
    </w:rPr>
  </w:style>
  <w:style w:type="character" w:customStyle="1" w:styleId="35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36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37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38">
    <w:name w:val="w100"/>
    <w:basedOn w:val="6"/>
    <w:qFormat/>
    <w:uiPriority w:val="0"/>
  </w:style>
  <w:style w:type="character" w:customStyle="1" w:styleId="39">
    <w:name w:val="yjl"/>
    <w:basedOn w:val="6"/>
    <w:qFormat/>
    <w:uiPriority w:val="0"/>
    <w:rPr>
      <w:color w:val="999999"/>
    </w:rPr>
  </w:style>
  <w:style w:type="character" w:customStyle="1" w:styleId="40">
    <w:name w:val="yjr"/>
    <w:basedOn w:val="6"/>
    <w:qFormat/>
    <w:uiPriority w:val="0"/>
  </w:style>
  <w:style w:type="character" w:customStyle="1" w:styleId="41">
    <w:name w:val="con"/>
    <w:basedOn w:val="6"/>
    <w:qFormat/>
    <w:uiPriority w:val="0"/>
  </w:style>
  <w:style w:type="character" w:customStyle="1" w:styleId="42">
    <w:name w:val="cur8"/>
    <w:basedOn w:val="6"/>
    <w:qFormat/>
    <w:uiPriority w:val="0"/>
    <w:rPr>
      <w:shd w:val="clear" w:fill="FFFFFF"/>
    </w:rPr>
  </w:style>
  <w:style w:type="character" w:customStyle="1" w:styleId="43">
    <w:name w:val="cur9"/>
    <w:basedOn w:val="6"/>
    <w:qFormat/>
    <w:uiPriority w:val="0"/>
    <w:rPr>
      <w:shd w:val="clear" w:fill="FF0000"/>
    </w:rPr>
  </w:style>
  <w:style w:type="character" w:customStyle="1" w:styleId="44">
    <w:name w:val="cur10"/>
    <w:basedOn w:val="6"/>
    <w:qFormat/>
    <w:uiPriority w:val="0"/>
    <w:rPr>
      <w:shd w:val="clear" w:fill="FF0000"/>
    </w:rPr>
  </w:style>
  <w:style w:type="character" w:customStyle="1" w:styleId="45">
    <w:name w:val="cur11"/>
    <w:basedOn w:val="6"/>
    <w:qFormat/>
    <w:uiPriority w:val="0"/>
    <w:rPr>
      <w:shd w:val="clear" w:fill="FFFFFF"/>
    </w:rPr>
  </w:style>
  <w:style w:type="character" w:customStyle="1" w:styleId="46">
    <w:name w:val="cur12"/>
    <w:basedOn w:val="6"/>
    <w:qFormat/>
    <w:uiPriority w:val="0"/>
    <w:rPr>
      <w:shd w:val="clear" w:fill="0662B1"/>
    </w:rPr>
  </w:style>
  <w:style w:type="character" w:customStyle="1" w:styleId="47">
    <w:name w:val="ban-dy"/>
    <w:basedOn w:val="6"/>
    <w:qFormat/>
    <w:uiPriority w:val="0"/>
    <w:rPr>
      <w:sz w:val="27"/>
      <w:szCs w:val="27"/>
    </w:rPr>
  </w:style>
  <w:style w:type="character" w:customStyle="1" w:styleId="48">
    <w:name w:val="hover29"/>
    <w:basedOn w:val="6"/>
    <w:qFormat/>
    <w:uiPriority w:val="0"/>
    <w:rPr>
      <w:shd w:val="clear" w:fill="FF0000"/>
    </w:rPr>
  </w:style>
  <w:style w:type="character" w:customStyle="1" w:styleId="49">
    <w:name w:val="hover30"/>
    <w:basedOn w:val="6"/>
    <w:qFormat/>
    <w:uiPriority w:val="0"/>
    <w:rPr>
      <w:shd w:val="clear" w:fill="FF0000"/>
    </w:rPr>
  </w:style>
  <w:style w:type="paragraph" w:customStyle="1" w:styleId="50">
    <w:name w:val="tit3"/>
    <w:basedOn w:val="1"/>
    <w:qFormat/>
    <w:uiPriority w:val="0"/>
    <w:pPr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51">
    <w:name w:val="tit5"/>
    <w:basedOn w:val="1"/>
    <w:qFormat/>
    <w:uiPriority w:val="0"/>
    <w:pPr>
      <w:ind w:right="465"/>
      <w:jc w:val="left"/>
    </w:pPr>
    <w:rPr>
      <w:kern w:val="0"/>
      <w:lang w:val="en-US" w:eastAsia="zh-CN" w:bidi="ar"/>
    </w:rPr>
  </w:style>
  <w:style w:type="paragraph" w:customStyle="1" w:styleId="52">
    <w:name w:val="tit7"/>
    <w:basedOn w:val="1"/>
    <w:qFormat/>
    <w:uiPriority w:val="0"/>
    <w:pPr>
      <w:spacing w:before="300" w:beforeAutospacing="0" w:after="60" w:afterAutospacing="0" w:line="450" w:lineRule="atLeast"/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53">
    <w:name w:val="tit9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54">
    <w:name w:val="tit17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character" w:customStyle="1" w:styleId="55">
    <w:name w:val="hover44"/>
    <w:basedOn w:val="6"/>
    <w:qFormat/>
    <w:uiPriority w:val="0"/>
    <w:rPr>
      <w:b/>
    </w:rPr>
  </w:style>
  <w:style w:type="character" w:customStyle="1" w:styleId="56">
    <w:name w:val="name4"/>
    <w:basedOn w:val="6"/>
    <w:qFormat/>
    <w:uiPriority w:val="0"/>
    <w:rPr>
      <w:color w:val="2760B7"/>
    </w:rPr>
  </w:style>
  <w:style w:type="character" w:customStyle="1" w:styleId="57">
    <w:name w:val="hover40"/>
    <w:basedOn w:val="6"/>
    <w:qFormat/>
    <w:uiPriority w:val="0"/>
    <w:rPr>
      <w:b/>
      <w:color w:val="3354A2"/>
    </w:rPr>
  </w:style>
  <w:style w:type="character" w:customStyle="1" w:styleId="58">
    <w:name w:val="con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2021-06-02T02:09:00Z</dcterms:created>
  <dc:creator>Administrator</dc:creator>
  <cp:lastModifiedBy>Administrator</cp:lastModifiedBy>
  <dcterms:modified xsi:type="dcterms:W3CDTF">2021-06-02T07:24:24Z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