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2"/>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九</w:t>
      </w:r>
      <w:r>
        <w:rPr>
          <w:rFonts w:hint="eastAsia" w:ascii="方正小标宋简体" w:eastAsia="方正小标宋简体"/>
          <w:sz w:val="44"/>
          <w:szCs w:val="44"/>
        </w:rPr>
        <w:t>届贵州人才博览会黔西南州公共资源交易中心线下人才对接</w:t>
      </w:r>
    </w:p>
    <w:p>
      <w:pPr>
        <w:spacing w:line="560" w:lineRule="exact"/>
        <w:jc w:val="center"/>
        <w:rPr>
          <w:rFonts w:ascii="仿宋_GB2312" w:hAnsi="仿宋_GB2312" w:eastAsia="仿宋"/>
          <w:sz w:val="32"/>
          <w:szCs w:val="32"/>
        </w:rPr>
      </w:pPr>
      <w:r>
        <w:rPr>
          <w:rFonts w:hint="eastAsia" w:ascii="方正小标宋简体" w:eastAsia="方正小标宋简体"/>
          <w:sz w:val="44"/>
          <w:szCs w:val="44"/>
        </w:rPr>
        <w:t>防疫方案</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按照国家及省、州应对新冠肺炎疫情防控相关规定，切实做好新型冠状病毒感染的肺炎疫情的防控工作，有效防范疫情传播，确保人才对接的安全，特制订本工作方案。</w:t>
      </w:r>
    </w:p>
    <w:p>
      <w:pPr>
        <w:spacing w:line="560" w:lineRule="exact"/>
        <w:ind w:firstLine="640" w:firstLineChars="200"/>
        <w:rPr>
          <w:rFonts w:eastAsia="黑体"/>
          <w:sz w:val="32"/>
        </w:rPr>
      </w:pPr>
      <w:r>
        <w:rPr>
          <w:rFonts w:hint="eastAsia" w:eastAsia="黑体"/>
          <w:sz w:val="32"/>
        </w:rPr>
        <w:t>一、组织保障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黔西南州公共资源交易中心人才引进工作领导小组负责统筹开展人才引进防疫工作。</w:t>
      </w:r>
    </w:p>
    <w:p>
      <w:pPr>
        <w:widowControl/>
        <w:spacing w:line="560" w:lineRule="exact"/>
        <w:ind w:firstLine="640" w:firstLineChars="200"/>
        <w:jc w:val="left"/>
        <w:rPr>
          <w:rFonts w:ascii="Times New Roman" w:hAnsi="Times New Roman" w:eastAsia="黑体" w:cs="Times New Roman"/>
          <w:color w:val="231F20"/>
          <w:kern w:val="0"/>
          <w:sz w:val="32"/>
          <w:szCs w:val="32"/>
        </w:rPr>
      </w:pPr>
      <w:r>
        <w:rPr>
          <w:rFonts w:hint="eastAsia" w:ascii="Times New Roman" w:hAnsi="Times New Roman" w:eastAsia="黑体" w:cs="Times New Roman"/>
          <w:color w:val="231F20"/>
          <w:kern w:val="0"/>
          <w:sz w:val="32"/>
          <w:szCs w:val="32"/>
        </w:rPr>
        <w:t>二</w:t>
      </w:r>
      <w:r>
        <w:rPr>
          <w:rFonts w:ascii="Times New Roman" w:hAnsi="Times New Roman" w:eastAsia="黑体" w:cs="Times New Roman"/>
          <w:color w:val="231F20"/>
          <w:kern w:val="0"/>
          <w:sz w:val="32"/>
          <w:szCs w:val="32"/>
        </w:rPr>
        <w:t>、注意事项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由领导小组办公室做好如下工作；</w:t>
      </w:r>
    </w:p>
    <w:p>
      <w:pPr>
        <w:spacing w:line="560" w:lineRule="exact"/>
        <w:ind w:firstLine="640" w:firstLineChars="200"/>
        <w:rPr>
          <w:rFonts w:ascii="仿宋_GB2312" w:eastAsia="仿宋_GB2312"/>
          <w:sz w:val="32"/>
          <w:szCs w:val="32"/>
        </w:rPr>
      </w:pPr>
      <w:r>
        <w:rPr>
          <w:rFonts w:ascii="仿宋_GB2312" w:eastAsia="仿宋_GB2312"/>
          <w:sz w:val="32"/>
          <w:szCs w:val="32"/>
        </w:rPr>
        <w:t>（一）做好口罩、洗手液、消毒剂等防疫物资储备。</w:t>
      </w:r>
    </w:p>
    <w:p>
      <w:pPr>
        <w:spacing w:line="560" w:lineRule="exact"/>
        <w:ind w:firstLine="640" w:firstLineChars="200"/>
        <w:rPr>
          <w:rFonts w:ascii="仿宋_GB2312" w:eastAsia="仿宋_GB2312"/>
          <w:sz w:val="32"/>
          <w:szCs w:val="32"/>
        </w:rPr>
      </w:pPr>
      <w:r>
        <w:rPr>
          <w:rFonts w:ascii="仿宋_GB2312" w:eastAsia="仿宋_GB2312"/>
          <w:sz w:val="32"/>
          <w:szCs w:val="32"/>
        </w:rPr>
        <w:t>（二）健康监测，对参加</w:t>
      </w:r>
      <w:r>
        <w:rPr>
          <w:rFonts w:hint="eastAsia" w:ascii="仿宋_GB2312" w:eastAsia="仿宋_GB2312"/>
          <w:sz w:val="32"/>
          <w:szCs w:val="32"/>
        </w:rPr>
        <w:t>面试</w:t>
      </w:r>
      <w:r>
        <w:rPr>
          <w:rFonts w:ascii="仿宋_GB2312" w:eastAsia="仿宋_GB2312"/>
          <w:sz w:val="32"/>
          <w:szCs w:val="32"/>
        </w:rPr>
        <w:t>人员健康状况进行登记，身体不适时应及时就医，对</w:t>
      </w:r>
      <w:r>
        <w:rPr>
          <w:rFonts w:hint="eastAsia" w:ascii="仿宋_GB2312" w:eastAsia="仿宋_GB2312"/>
          <w:sz w:val="32"/>
          <w:szCs w:val="32"/>
        </w:rPr>
        <w:t>面试</w:t>
      </w:r>
      <w:r>
        <w:rPr>
          <w:rFonts w:ascii="仿宋_GB2312" w:eastAsia="仿宋_GB2312"/>
          <w:sz w:val="32"/>
          <w:szCs w:val="32"/>
        </w:rPr>
        <w:t>人员</w:t>
      </w:r>
      <w:r>
        <w:rPr>
          <w:rFonts w:hint="eastAsia" w:ascii="仿宋_GB2312" w:eastAsia="仿宋_GB2312"/>
          <w:sz w:val="32"/>
          <w:szCs w:val="32"/>
        </w:rPr>
        <w:t>入场前</w:t>
      </w:r>
      <w:r>
        <w:rPr>
          <w:rFonts w:ascii="仿宋_GB2312" w:eastAsia="仿宋_GB2312"/>
          <w:sz w:val="32"/>
          <w:szCs w:val="32"/>
        </w:rPr>
        <w:t>进行体温检测，体温正常者方可进入。</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）做好活动场所通风换气，保持空气流通。</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）做好电梯、公共卫生间等公用设备设施和门把手等高频接触物体表面的清洁消毒。</w:t>
      </w:r>
    </w:p>
    <w:p>
      <w:pPr>
        <w:spacing w:line="560" w:lineRule="exact"/>
        <w:ind w:firstLine="640" w:firstLineChars="200"/>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）保持活动区域环境整洁，及时清理垃圾。</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）在醒目位置张贴健康提示，利用各种显示屏宣传新冠肺炎及其他传染病防控知识。</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七</w:t>
      </w:r>
      <w:r>
        <w:rPr>
          <w:rFonts w:ascii="仿宋_GB2312" w:eastAsia="仿宋_GB2312"/>
          <w:sz w:val="32"/>
          <w:szCs w:val="32"/>
        </w:rPr>
        <w:t>）控制</w:t>
      </w:r>
      <w:r>
        <w:rPr>
          <w:rFonts w:hint="eastAsia" w:ascii="仿宋_GB2312" w:eastAsia="仿宋_GB2312"/>
          <w:sz w:val="32"/>
          <w:szCs w:val="32"/>
          <w:lang w:val="en-US" w:eastAsia="zh-CN"/>
        </w:rPr>
        <w:t>面试</w:t>
      </w:r>
      <w:r>
        <w:rPr>
          <w:rFonts w:ascii="仿宋_GB2312" w:eastAsia="仿宋_GB2312"/>
          <w:sz w:val="32"/>
          <w:szCs w:val="32"/>
        </w:rPr>
        <w:t>的总体时间，温度适宜时应当开窗或开门。</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八</w:t>
      </w:r>
      <w:r>
        <w:rPr>
          <w:rFonts w:ascii="仿宋_GB2312" w:eastAsia="仿宋_GB2312"/>
          <w:sz w:val="32"/>
          <w:szCs w:val="32"/>
        </w:rPr>
        <w:t>）设立应急区域。当出现疑似症状人员时，及时到该区域进行暂时隔离，并安排就近就医。</w:t>
      </w:r>
    </w:p>
    <w:p>
      <w:pPr>
        <w:widowControl/>
        <w:autoSpaceDE w:val="0"/>
        <w:spacing w:line="560" w:lineRule="exact"/>
        <w:ind w:firstLine="640" w:firstLineChars="200"/>
        <w:jc w:val="left"/>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人员对接相关工作</w:t>
      </w:r>
    </w:p>
    <w:p>
      <w:pPr>
        <w:widowControl/>
        <w:spacing w:line="560" w:lineRule="exact"/>
        <w:ind w:firstLine="640" w:firstLineChars="200"/>
        <w:jc w:val="left"/>
        <w:rPr>
          <w:rFonts w:ascii="Times New Roman" w:hAnsi="Times New Roman" w:eastAsia="黑体" w:cs="Times New Roman"/>
          <w:color w:val="231F20"/>
          <w:kern w:val="0"/>
          <w:sz w:val="32"/>
          <w:szCs w:val="32"/>
        </w:rPr>
      </w:pPr>
      <w:r>
        <w:rPr>
          <w:rFonts w:hint="eastAsia" w:ascii="Times New Roman" w:hAnsi="Times New Roman" w:eastAsia="黑体" w:cs="Times New Roman"/>
          <w:color w:val="231F20"/>
          <w:kern w:val="0"/>
          <w:sz w:val="32"/>
          <w:szCs w:val="32"/>
        </w:rPr>
        <w:t>（一）</w:t>
      </w:r>
      <w:r>
        <w:rPr>
          <w:rFonts w:ascii="Times New Roman" w:hAnsi="Times New Roman" w:eastAsia="黑体" w:cs="Times New Roman"/>
          <w:color w:val="231F20"/>
          <w:kern w:val="0"/>
          <w:sz w:val="32"/>
          <w:szCs w:val="32"/>
        </w:rPr>
        <w:t>邀请测评和评审专家注意事项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了解专家参与活动前14天个人情况（包括身体状况及在外出差等基本情况）。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邀请的专家需在微信小程序中下载贵州健康码，并确认健康码为绿色，并经体温测量正常后，参与相关工作。</w:t>
      </w:r>
    </w:p>
    <w:p>
      <w:pPr>
        <w:widowControl/>
        <w:spacing w:line="560" w:lineRule="exact"/>
        <w:ind w:firstLine="640" w:firstLineChars="200"/>
        <w:jc w:val="left"/>
        <w:rPr>
          <w:rFonts w:ascii="Times New Roman" w:hAnsi="Times New Roman" w:eastAsia="黑体" w:cs="Times New Roman"/>
          <w:color w:val="231F20"/>
          <w:kern w:val="0"/>
          <w:sz w:val="32"/>
          <w:szCs w:val="32"/>
        </w:rPr>
      </w:pPr>
      <w:r>
        <w:rPr>
          <w:rFonts w:hint="eastAsia" w:ascii="Times New Roman" w:hAnsi="Times New Roman" w:eastAsia="黑体" w:cs="Times New Roman"/>
          <w:color w:val="231F20"/>
          <w:kern w:val="0"/>
          <w:sz w:val="32"/>
          <w:szCs w:val="32"/>
        </w:rPr>
        <w:t>（二）</w:t>
      </w:r>
      <w:r>
        <w:rPr>
          <w:rFonts w:ascii="Times New Roman" w:hAnsi="Times New Roman" w:eastAsia="黑体" w:cs="Times New Roman"/>
          <w:color w:val="231F20"/>
          <w:kern w:val="0"/>
          <w:sz w:val="32"/>
          <w:szCs w:val="32"/>
        </w:rPr>
        <w:t>求职人才线下对接注意事项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1.工作人员电话通知防疫要求或通过邮件等形式向</w:t>
      </w:r>
      <w:r>
        <w:rPr>
          <w:rFonts w:ascii="仿宋_GB2312" w:eastAsia="仿宋_GB2312"/>
          <w:sz w:val="32"/>
          <w:szCs w:val="32"/>
        </w:rPr>
        <w:t>求职人才</w:t>
      </w:r>
      <w:r>
        <w:rPr>
          <w:rFonts w:hint="eastAsia" w:ascii="仿宋_GB2312" w:eastAsia="仿宋_GB2312"/>
          <w:sz w:val="32"/>
          <w:szCs w:val="32"/>
        </w:rPr>
        <w:t>发放</w:t>
      </w:r>
      <w:r>
        <w:rPr>
          <w:rFonts w:ascii="仿宋_GB2312" w:eastAsia="仿宋_GB2312"/>
          <w:sz w:val="32"/>
          <w:szCs w:val="32"/>
        </w:rPr>
        <w:t>求职人才线下对接注意事项</w:t>
      </w:r>
      <w:r>
        <w:rPr>
          <w:rFonts w:hint="eastAsia" w:ascii="仿宋_GB2312" w:eastAsia="仿宋_GB2312"/>
          <w:sz w:val="32"/>
          <w:szCs w:val="32"/>
        </w:rPr>
        <w:t>、</w:t>
      </w:r>
      <w:r>
        <w:rPr>
          <w:rFonts w:ascii="仿宋_GB2312" w:eastAsia="仿宋_GB2312"/>
          <w:sz w:val="32"/>
          <w:szCs w:val="32"/>
        </w:rPr>
        <w:t>人才对接结束后注意事项</w:t>
      </w:r>
      <w:r>
        <w:rPr>
          <w:rFonts w:hint="eastAsia" w:ascii="仿宋_GB2312" w:eastAsia="仿宋_GB2312"/>
          <w:sz w:val="32"/>
          <w:szCs w:val="32"/>
        </w:rPr>
        <w:t>。</w:t>
      </w:r>
    </w:p>
    <w:p>
      <w:pPr>
        <w:spacing w:line="560" w:lineRule="exact"/>
        <w:ind w:firstLine="640" w:firstLineChars="200"/>
        <w:rPr>
          <w:rFonts w:ascii="Times New Roman" w:hAnsi="Times New Roman" w:eastAsia="仿宋_GB2312" w:cs="Times New Roman"/>
          <w:sz w:val="32"/>
          <w:szCs w:val="40"/>
        </w:rPr>
      </w:pPr>
      <w:r>
        <w:rPr>
          <w:rFonts w:hint="eastAsia" w:ascii="仿宋_GB2312" w:eastAsia="仿宋_GB2312"/>
          <w:sz w:val="32"/>
          <w:szCs w:val="32"/>
        </w:rPr>
        <w:t>2.</w:t>
      </w:r>
      <w:r>
        <w:rPr>
          <w:rFonts w:ascii="仿宋_GB2312" w:eastAsia="仿宋_GB2312"/>
          <w:sz w:val="32"/>
          <w:szCs w:val="32"/>
        </w:rPr>
        <w:t>人才对接活动期间，所有人员应全程佩戴口罩，打喷嚏时用纸巾遮住或肘臂遮</w:t>
      </w:r>
      <w:r>
        <w:rPr>
          <w:rFonts w:ascii="Times New Roman" w:hAnsi="Times New Roman" w:eastAsia="仿宋_GB2312" w:cs="Times New Roman"/>
          <w:sz w:val="32"/>
          <w:szCs w:val="40"/>
        </w:rPr>
        <w:t>挡口鼻，将使用过的纸巾放入有盖的垃圾桶内，打喷嚏和咳嗽后应用洗手液（或肥皂）彻底清洗双手。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求职人才在线下对接前14天内出现发热（≥37.3°C）、干咳、乏力、鼻塞、流涕、咽痛、腹泻等症状，或有疫情中高风险省份或区域的旅居史，应暂缓线下对接相关事宜，另行安排对接时间。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参加线下对接的求职人才需在微信小程序中下载贵州健康码，并确认健康码为绿色，并经体温测量正常后，方能参加线下对接。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5.本次面试</w:t>
      </w:r>
      <w:r>
        <w:rPr>
          <w:rFonts w:ascii="仿宋_GB2312" w:eastAsia="仿宋_GB2312"/>
          <w:sz w:val="32"/>
          <w:szCs w:val="32"/>
        </w:rPr>
        <w:t>不聚集、小规模开展人才对接相关活动。</w:t>
      </w:r>
      <w:r>
        <w:rPr>
          <w:rFonts w:hint="eastAsia" w:ascii="仿宋_GB2312" w:eastAsia="仿宋_GB2312"/>
          <w:sz w:val="32"/>
          <w:szCs w:val="32"/>
        </w:rPr>
        <w:t>工作小组准备三个房间作为候考室、面试室、考后休息室。确保</w:t>
      </w:r>
      <w:r>
        <w:rPr>
          <w:rFonts w:ascii="仿宋_GB2312" w:eastAsia="仿宋_GB2312"/>
          <w:sz w:val="32"/>
          <w:szCs w:val="32"/>
        </w:rPr>
        <w:t>人与人之间保持一米以上安全距离。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6.面试时考官全程配戴口罩，面试时面试者可不戴口罩。面试全程控制时间，每位不超15分钟，中间间隔3分钟，由工作人员对面试室进行消毒。</w:t>
      </w:r>
      <w:r>
        <w:rPr>
          <w:rFonts w:ascii="仿宋_GB2312" w:eastAsia="仿宋_GB2312"/>
          <w:sz w:val="32"/>
          <w:szCs w:val="32"/>
        </w:rPr>
        <w:t>求职人才</w:t>
      </w:r>
      <w:r>
        <w:rPr>
          <w:rFonts w:hint="eastAsia" w:ascii="仿宋_GB2312" w:eastAsia="仿宋_GB2312"/>
          <w:sz w:val="32"/>
          <w:szCs w:val="32"/>
        </w:rPr>
        <w:t>在候考室、考后休息室期间需全程配戴口罩。</w:t>
      </w:r>
    </w:p>
    <w:p>
      <w:pPr>
        <w:pStyle w:val="2"/>
        <w:spacing w:before="0" w:after="0" w:line="560" w:lineRule="exact"/>
        <w:ind w:firstLine="320" w:firstLineChars="100"/>
        <w:rPr>
          <w:rFonts w:ascii="Times New Roman" w:hAnsi="Times New Roman" w:eastAsia="黑体" w:cs="Times New Roman"/>
          <w:color w:val="231F20"/>
          <w:kern w:val="0"/>
          <w:sz w:val="32"/>
          <w:szCs w:val="32"/>
        </w:rPr>
      </w:pPr>
      <w:r>
        <w:rPr>
          <w:rFonts w:hint="eastAsia" w:ascii="Times New Roman" w:hAnsi="Times New Roman" w:eastAsia="黑体" w:cs="Times New Roman"/>
          <w:color w:val="231F20"/>
          <w:kern w:val="0"/>
          <w:sz w:val="32"/>
          <w:szCs w:val="32"/>
        </w:rPr>
        <w:t>（三）求职人员注意事项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求职人才收到用人单位邀约后，尽量减少外出活动，勿前往新冠肺炎中高风险地区，减少走亲访友和聚餐，尽量在家休息，减少到人员密集的公共场所活动。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参加线下</w:t>
      </w:r>
      <w:r>
        <w:rPr>
          <w:rFonts w:hint="eastAsia" w:ascii="仿宋_GB2312" w:eastAsia="仿宋_GB2312"/>
          <w:sz w:val="32"/>
          <w:szCs w:val="32"/>
        </w:rPr>
        <w:t>面试</w:t>
      </w:r>
      <w:r>
        <w:rPr>
          <w:rFonts w:ascii="仿宋_GB2312" w:eastAsia="仿宋_GB2312"/>
          <w:sz w:val="32"/>
          <w:szCs w:val="32"/>
        </w:rPr>
        <w:t>的求职人才必须如实告知个人情况，如有隐瞒后果自负。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乘坐公共交通工具参加线下对接的求职人才，尽量减少接触公共场所的公共物品和部位；途经公共场所后，尽快用洗手液</w:t>
      </w:r>
      <w:r>
        <w:rPr>
          <w:rFonts w:hint="eastAsia" w:ascii="仿宋_GB2312" w:eastAsia="仿宋_GB2312"/>
          <w:sz w:val="32"/>
          <w:szCs w:val="32"/>
        </w:rPr>
        <w:t>（</w:t>
      </w:r>
      <w:r>
        <w:rPr>
          <w:rFonts w:ascii="仿宋_GB2312" w:eastAsia="仿宋_GB2312"/>
          <w:sz w:val="32"/>
          <w:szCs w:val="32"/>
        </w:rPr>
        <w:t>或</w:t>
      </w:r>
      <w:r>
        <w:rPr>
          <w:rFonts w:hint="eastAsia" w:ascii="仿宋_GB2312" w:eastAsia="仿宋_GB2312"/>
          <w:sz w:val="32"/>
          <w:szCs w:val="32"/>
        </w:rPr>
        <w:t>肥皂）</w:t>
      </w:r>
      <w:r>
        <w:rPr>
          <w:rFonts w:ascii="仿宋_GB2312" w:eastAsia="仿宋_GB2312"/>
          <w:sz w:val="32"/>
          <w:szCs w:val="32"/>
        </w:rPr>
        <w:t>流水洗手，或者使用含酒精成分的免洗洗手液；不确定手是否清洁时，避免用手接触口鼻眼。乘坐公共交通工具时请做好个人防护，全程佩戴口罩，及时进行手消。</w:t>
      </w:r>
    </w:p>
    <w:p>
      <w:pPr>
        <w:widowControl/>
        <w:spacing w:line="560" w:lineRule="exact"/>
        <w:ind w:firstLine="640"/>
        <w:jc w:val="left"/>
        <w:rPr>
          <w:rFonts w:ascii="Times New Roman" w:hAnsi="Times New Roman" w:eastAsia="仿宋_GB2312" w:cs="Times New Roman"/>
          <w:color w:val="231F20"/>
          <w:kern w:val="0"/>
          <w:sz w:val="32"/>
          <w:szCs w:val="32"/>
        </w:rPr>
      </w:pPr>
      <w:r>
        <w:rPr>
          <w:rFonts w:ascii="Times New Roman" w:hAnsi="Times New Roman" w:eastAsia="黑体" w:cs="Times New Roman"/>
          <w:color w:val="231F20"/>
          <w:kern w:val="0"/>
          <w:sz w:val="32"/>
          <w:szCs w:val="32"/>
        </w:rPr>
        <w:t>四、人才对接结束后注意事项</w:t>
      </w:r>
    </w:p>
    <w:p>
      <w:pPr>
        <w:widowControl/>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人才对接活动结束后，评审专家及求职人才14天内若出现发热（≥37.3°C）、干咳、乏力、鼻塞、流涕、咽痛、腹泻等症状时，或发生确诊、疑似病例接触史，应立即按照防控要求做好自我处置，并如实将相关信息告知用人单位。</w:t>
      </w:r>
    </w:p>
    <w:p>
      <w:pPr>
        <w:widowControl/>
        <w:spacing w:line="56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（二）人才对接活动结束后，评审专家及求职人才连续14天每日将个人体温</w:t>
      </w:r>
      <w:r>
        <w:rPr>
          <w:rFonts w:hint="eastAsia" w:ascii="Times New Roman" w:hAnsi="Times New Roman" w:eastAsia="仿宋_GB2312" w:cs="Times New Roman"/>
          <w:kern w:val="0"/>
          <w:sz w:val="32"/>
          <w:szCs w:val="32"/>
        </w:rPr>
        <w:t>情况</w:t>
      </w:r>
      <w:r>
        <w:rPr>
          <w:rFonts w:ascii="Times New Roman" w:hAnsi="Times New Roman" w:eastAsia="仿宋_GB2312" w:cs="Times New Roman"/>
          <w:kern w:val="0"/>
          <w:sz w:val="32"/>
          <w:szCs w:val="32"/>
        </w:rPr>
        <w:t>反馈至</w:t>
      </w:r>
      <w:r>
        <w:rPr>
          <w:rFonts w:hint="eastAsia" w:ascii="仿宋_GB2312" w:eastAsia="仿宋_GB2312"/>
          <w:sz w:val="32"/>
          <w:szCs w:val="32"/>
        </w:rPr>
        <w:t>黔西南公共资源交易中心</w:t>
      </w:r>
      <w:r>
        <w:rPr>
          <w:rFonts w:ascii="Times New Roman" w:hAnsi="Times New Roman" w:eastAsia="仿宋_GB2312" w:cs="Times New Roman"/>
          <w:kern w:val="0"/>
          <w:sz w:val="32"/>
          <w:szCs w:val="32"/>
        </w:rPr>
        <w:t>。</w:t>
      </w:r>
    </w:p>
    <w:p>
      <w:pPr>
        <w:widowControl/>
        <w:spacing w:line="560" w:lineRule="exact"/>
        <w:jc w:val="left"/>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rPr>
        <w:t xml:space="preserve">    （三）</w:t>
      </w:r>
      <w:r>
        <w:rPr>
          <w:rFonts w:hint="eastAsia" w:ascii="仿宋_GB2312" w:hAnsi="仿宋_GB2312" w:eastAsia="仿宋_GB2312" w:cs="仿宋_GB2312"/>
          <w:kern w:val="0"/>
          <w:sz w:val="32"/>
          <w:szCs w:val="32"/>
        </w:rPr>
        <w:t>考生收到体检通知</w:t>
      </w:r>
      <w:r>
        <w:rPr>
          <w:rFonts w:hint="eastAsia" w:ascii="仿宋_GB2312" w:hAnsi="仿宋_GB2312" w:eastAsia="仿宋_GB2312" w:cs="仿宋_GB2312"/>
          <w:sz w:val="32"/>
          <w:szCs w:val="32"/>
        </w:rPr>
        <w:t>后，不得前往新冠肺炎防控中高风险地区，减少走亲访友和聚餐，减少到人员密集的公共场所活动。</w:t>
      </w:r>
    </w:p>
    <w:p>
      <w:pPr>
        <w:pStyle w:val="2"/>
        <w:rPr>
          <w:rFonts w:hint="default" w:eastAsia="仿宋_GB2312"/>
          <w:lang w:val="en-US" w:eastAsia="zh-CN"/>
        </w:rPr>
      </w:pPr>
    </w:p>
    <w:p>
      <w:pPr>
        <w:pStyle w:val="6"/>
        <w:widowControl/>
        <w:spacing w:beforeAutospacing="0" w:afterAutospacing="0" w:line="560" w:lineRule="exact"/>
      </w:pPr>
    </w:p>
    <w:p>
      <w:pPr>
        <w:pStyle w:val="6"/>
        <w:widowControl/>
        <w:spacing w:beforeAutospacing="0" w:afterAutospacing="0" w:line="560" w:lineRule="exact"/>
        <w:jc w:val="both"/>
        <w:rPr>
          <w:rFonts w:ascii="仿宋_GB2312" w:eastAsia="仿宋_GB2312" w:cstheme="minorBidi"/>
          <w:kern w:val="2"/>
          <w:sz w:val="32"/>
          <w:szCs w:val="32"/>
        </w:rPr>
      </w:pPr>
      <w:r>
        <w:rPr>
          <w:rFonts w:ascii="Helvetica" w:hAnsi="Helvetica" w:eastAsia="Helvetica" w:cs="Helvetica"/>
          <w:color w:val="666666"/>
          <w:shd w:val="clear" w:color="auto" w:fill="FFFFFF"/>
        </w:rPr>
        <w:t> </w:t>
      </w:r>
      <w:r>
        <w:rPr>
          <w:rFonts w:hint="eastAsia" w:ascii="Helvetica" w:hAnsi="Helvetica" w:eastAsia="宋体" w:cs="Helvetica"/>
          <w:color w:val="666666"/>
          <w:shd w:val="clear" w:color="auto" w:fill="FFFFFF"/>
        </w:rPr>
        <w:t xml:space="preserve">       </w:t>
      </w:r>
      <w:r>
        <w:rPr>
          <w:rFonts w:hint="eastAsia" w:ascii="仿宋_GB2312" w:eastAsia="仿宋_GB2312" w:cstheme="minorBidi"/>
          <w:kern w:val="2"/>
          <w:sz w:val="32"/>
          <w:szCs w:val="32"/>
        </w:rPr>
        <w:t xml:space="preserve">                    黔西南公共资源交易中心</w:t>
      </w:r>
    </w:p>
    <w:p>
      <w:pPr>
        <w:spacing w:line="560" w:lineRule="exact"/>
        <w:ind w:firstLine="620" w:firstLineChars="200"/>
        <w:rPr>
          <w:rFonts w:ascii="仿宋_GB2312" w:eastAsia="仿宋_GB2312"/>
          <w:sz w:val="32"/>
          <w:szCs w:val="32"/>
        </w:rPr>
      </w:pPr>
      <w:r>
        <w:rPr>
          <w:rFonts w:hint="eastAsia" w:ascii="仿宋_GB2312" w:hAnsi="Helvetica" w:eastAsia="仿宋_GB2312" w:cs="仿宋_GB2312"/>
          <w:color w:val="000000"/>
          <w:sz w:val="31"/>
          <w:szCs w:val="31"/>
          <w:shd w:val="clear" w:color="auto" w:fill="FFFFFF"/>
        </w:rPr>
        <w:t>                     </w:t>
      </w:r>
      <w:bookmarkStart w:id="0" w:name="_GoBack"/>
      <w:bookmarkEnd w:id="0"/>
      <w:r>
        <w:rPr>
          <w:rFonts w:hint="eastAsia" w:ascii="仿宋_GB2312" w:hAnsi="Helvetica" w:eastAsia="仿宋_GB2312" w:cs="仿宋_GB2312"/>
          <w:color w:val="000000"/>
          <w:sz w:val="31"/>
          <w:szCs w:val="31"/>
          <w:shd w:val="clear" w:color="auto" w:fill="FFFFFF"/>
        </w:rPr>
        <w:t>                  202</w:t>
      </w:r>
      <w:r>
        <w:rPr>
          <w:rFonts w:hint="eastAsia" w:ascii="仿宋_GB2312" w:hAnsi="Helvetica" w:eastAsia="仿宋_GB2312" w:cs="仿宋_GB2312"/>
          <w:color w:val="000000"/>
          <w:sz w:val="31"/>
          <w:szCs w:val="31"/>
          <w:shd w:val="clear" w:color="auto" w:fill="FFFFFF"/>
          <w:lang w:val="en-US" w:eastAsia="zh-CN"/>
        </w:rPr>
        <w:t>1</w:t>
      </w:r>
      <w:r>
        <w:rPr>
          <w:rFonts w:hint="eastAsia" w:ascii="仿宋_GB2312" w:hAnsi="Helvetica" w:eastAsia="仿宋_GB2312" w:cs="仿宋_GB2312"/>
          <w:color w:val="000000"/>
          <w:sz w:val="31"/>
          <w:szCs w:val="31"/>
          <w:shd w:val="clear" w:color="auto" w:fill="FFFFFF"/>
        </w:rPr>
        <w:t>年</w:t>
      </w:r>
      <w:r>
        <w:rPr>
          <w:rFonts w:hint="eastAsia" w:ascii="仿宋_GB2312" w:hAnsi="Helvetica" w:eastAsia="仿宋_GB2312" w:cs="仿宋_GB2312"/>
          <w:color w:val="000000"/>
          <w:sz w:val="31"/>
          <w:szCs w:val="31"/>
          <w:shd w:val="clear" w:color="auto" w:fill="FFFFFF"/>
          <w:lang w:val="en-US" w:eastAsia="zh-CN"/>
        </w:rPr>
        <w:t>6</w:t>
      </w:r>
      <w:r>
        <w:rPr>
          <w:rFonts w:hint="eastAsia" w:ascii="仿宋_GB2312" w:hAnsi="Helvetica" w:eastAsia="仿宋_GB2312" w:cs="仿宋_GB2312"/>
          <w:color w:val="000000"/>
          <w:sz w:val="31"/>
          <w:szCs w:val="31"/>
          <w:shd w:val="clear" w:color="auto" w:fill="FFFFFF"/>
        </w:rPr>
        <w:t>月</w:t>
      </w:r>
      <w:r>
        <w:rPr>
          <w:rFonts w:hint="eastAsia" w:ascii="仿宋_GB2312" w:hAnsi="Helvetica" w:eastAsia="仿宋_GB2312" w:cs="仿宋_GB2312"/>
          <w:color w:val="000000"/>
          <w:sz w:val="31"/>
          <w:szCs w:val="31"/>
          <w:shd w:val="clear" w:color="auto" w:fill="FFFFFF"/>
          <w:lang w:val="en-US" w:eastAsia="zh-CN"/>
        </w:rPr>
        <w:t>2</w:t>
      </w:r>
      <w:r>
        <w:rPr>
          <w:rFonts w:hint="eastAsia" w:ascii="仿宋_GB2312" w:hAnsi="Helvetica" w:eastAsia="仿宋_GB2312" w:cs="仿宋_GB2312"/>
          <w:color w:val="000000"/>
          <w:sz w:val="31"/>
          <w:szCs w:val="31"/>
          <w:shd w:val="clear" w:color="auto" w:fill="FFFFFF"/>
        </w:rPr>
        <w:t>日  </w:t>
      </w:r>
      <w:r>
        <w:rPr>
          <w:rFonts w:ascii="仿宋" w:hAnsi="仿宋" w:eastAsia="仿宋" w:cs="仿宋"/>
          <w:color w:val="000000"/>
          <w:sz w:val="31"/>
          <w:szCs w:val="3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2E17743"/>
    <w:rsid w:val="00B54C23"/>
    <w:rsid w:val="00E63087"/>
    <w:rsid w:val="00F63F17"/>
    <w:rsid w:val="02E17743"/>
    <w:rsid w:val="0DDF7E67"/>
    <w:rsid w:val="155A3316"/>
    <w:rsid w:val="1A50506F"/>
    <w:rsid w:val="32144B1A"/>
    <w:rsid w:val="347A5E26"/>
    <w:rsid w:val="355D53F3"/>
    <w:rsid w:val="36642B67"/>
    <w:rsid w:val="3C8E43AB"/>
    <w:rsid w:val="4E191680"/>
    <w:rsid w:val="50AE0C15"/>
    <w:rsid w:val="525D7EED"/>
    <w:rsid w:val="5446379E"/>
    <w:rsid w:val="63162112"/>
    <w:rsid w:val="6B5C3A4A"/>
    <w:rsid w:val="6C267E5F"/>
    <w:rsid w:val="7862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table of authorities"/>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243</Words>
  <Characters>1390</Characters>
  <Lines>11</Lines>
  <Paragraphs>3</Paragraphs>
  <TotalTime>1</TotalTime>
  <ScaleCrop>false</ScaleCrop>
  <LinksUpToDate>false</LinksUpToDate>
  <CharactersWithSpaces>1630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2020-06-04T00:53:00Z</dcterms:created>
  <dc:creator>木头耳朵</dc:creator>
  <cp:lastModifiedBy>黔西南州交易中心公文收发员</cp:lastModifiedBy>
  <cp:lastPrinted>2020-06-15T01:21:00Z</cp:lastPrinted>
  <dcterms:modified xsi:type="dcterms:W3CDTF">2021-06-02T02:13:29Z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