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420"/>
        <w:spacing w:before="0" w:after="0"/>
        <w:rPr>
          <w:color w:val="333333"/>
          <w:rFonts w:ascii="微软雅黑" w:hAnsi="微软雅黑"/>
          <w:sz w:val="22"/>
          <w:szCs w:val="22"/>
        </w:rPr>
      </w:pPr>
      <w:r>
        <w:rPr>
          <w:color w:val="333333"/>
          <w:rFonts w:ascii="微软雅黑" w:hAnsi="微软雅黑"/>
          <w:sz w:val="22"/>
          <w:szCs w:val="22"/>
        </w:rPr>
        <w:t xml:space="preserve"> 消防员岗位体能测试计分标准</w:t>
      </w:r>
    </w:p>
    <w:tbl>
      <w:tblPr>
        <w:jc w:val="center"/>
        <w:tblStyle w:val="正文"/>
        <w:tblLook w:val="1E0"/>
        <w:tblW w:w="8475" w:type="dxa"/>
      </w:tblPr>
      <w:tblGrid>
        <w:gridCol w:w="1095"/>
        <w:gridCol w:w="2040"/>
        <w:gridCol w:w="2925"/>
        <w:gridCol w:w="2415"/>
      </w:tblGrid>
      <w:tr>
        <w:trPr>
          <w:trHeight w:val="1830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得分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100米</w:t>
            </w:r>
          </w:p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计分标准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3000米</w:t>
            </w:r>
          </w:p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计分标准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单杠引体向上</w:t>
            </w:r>
          </w:p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计分标准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13"30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13＇00＂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19</w:t>
            </w:r>
          </w:p>
        </w:tc>
      </w:tr>
      <w:tr>
        <w:trPr>
          <w:trHeight w:val="54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90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14"50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13＇14＂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18</w:t>
            </w:r>
          </w:p>
        </w:tc>
      </w:tr>
      <w:tr>
        <w:trPr>
          <w:trHeight w:val="57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80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15"00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13＇28＂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17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70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15"50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13＇42＂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16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60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16"00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14＇00＂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15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50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16"50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14＇14＂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</w:t>
            </w:r>
          </w:p>
        </w:tc>
      </w:tr>
      <w:tr>
        <w:trPr>
          <w:trHeight w:val="57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40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17"00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14＇28＂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13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30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17"50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14＇42＂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12</w:t>
            </w:r>
          </w:p>
        </w:tc>
      </w:tr>
      <w:tr>
        <w:trPr>
          <w:trHeight w:val="540" w:hRule="atLeast"/>
        </w:trPr>
        <w:tc>
          <w:tcPr>
            <w:tcBorders>
              <w:top w:val="single" w:sz="6" w:color="000000" w:space="0"/>
              <w:bottom w:val="nil" w:sz="0" w:color="auto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20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18"00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15＇00＂</w:t>
            </w:r>
          </w:p>
        </w:tc>
        <w:tc>
          <w:tcPr>
            <w:tcBorders>
              <w:top w:val="single" w:sz="6" w:color="000000" w:space="0"/>
              <w:bottom w:val="nil" w:sz="0" w:color="auto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11</w:t>
            </w:r>
          </w:p>
        </w:tc>
      </w:tr>
      <w:tr>
        <w:trPr>
          <w:trHeight w:val="55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18"50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15＇14＂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/>
            </w:pPr>
            <w:r>
              <w:rPr/>
              <w:t>10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