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8"/>
        <w:gridCol w:w="1512"/>
        <w:gridCol w:w="1212"/>
        <w:gridCol w:w="1368"/>
        <w:gridCol w:w="1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pacing w:val="15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单位</w:t>
            </w:r>
          </w:p>
        </w:tc>
        <w:tc>
          <w:tcPr>
            <w:tcW w:w="15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pacing w:val="15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岗位</w:t>
            </w:r>
          </w:p>
        </w:tc>
        <w:tc>
          <w:tcPr>
            <w:tcW w:w="12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pacing w:val="15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pacing w:val="15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体检情况</w:t>
            </w:r>
          </w:p>
        </w:tc>
        <w:tc>
          <w:tcPr>
            <w:tcW w:w="136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pacing w:val="15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背调情况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36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pacing w:val="15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宁波永安工程管理咨询有限公司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pacing w:val="15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办公室负责人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pacing w:val="15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陈焕然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pacing w:val="15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通过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pacing w:val="15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通过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13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2021-05-31T01:36:41Z</dcterms:created>
  <dc:creator>浙江华图</dc:creator>
  <cp:lastModifiedBy>浙江华图</cp:lastModifiedBy>
  <dcterms:modified xsi:type="dcterms:W3CDTF">2021-05-31T01:36:43Z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F46DBF8A3AC940F986FA884D92B8E7D6</vt:lpwstr>
  </property>
</Properties>
</file>