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 w:cs="黑体"/>
          <w:bCs/>
          <w:sz w:val="36"/>
          <w:szCs w:val="36"/>
        </w:rPr>
      </w:pPr>
      <w:bookmarkStart w:id="1" w:name="_GoBack"/>
      <w:bookmarkEnd w:id="1"/>
      <w:bookmarkStart w:id="0" w:name="_Hlk68688586"/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附件：北方民族大学2021年专任教师公开招聘计划</w:t>
      </w:r>
    </w:p>
    <w:tbl>
      <w:tblPr>
        <w:tblStyle w:val="5"/>
        <w:tblW w:w="5000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536"/>
        <w:gridCol w:w="844"/>
        <w:gridCol w:w="2533"/>
        <w:gridCol w:w="1404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拟补充计划数</w:t>
            </w:r>
          </w:p>
        </w:tc>
        <w:tc>
          <w:tcPr>
            <w:tcW w:w="23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对拟补充人员的基本要求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学历、职称</w:t>
            </w:r>
          </w:p>
        </w:tc>
        <w:tc>
          <w:tcPr>
            <w:tcW w:w="9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经济学院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应用经济学、理论经济学、工商管理、农林经济管理、中国少数民族经济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中国少数民族经济专业应聘者本、硕阶段需为经济类专业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法学院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法学（不限方向）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本、硕、博均为法学专业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马克思主义学院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马克思主义理论、哲学、政治学、民族理论与政策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同等条件下中共党员优先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文学与新闻传播学院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新闻学、传播学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博士研究生或副高级以上职称且为硕士研究生学历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Calibri"/>
                <w:color w:val="000000"/>
                <w:sz w:val="20"/>
                <w:szCs w:val="20"/>
              </w:rPr>
            </w:pPr>
            <w:r>
              <w:rPr>
                <w:rFonts w:hint="eastAsia" w:ascii="宋体" w:cs="Calibri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外国语学院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英语、日语等外国语言文学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数学与信息科学学院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数学、计算机科学与技术、控制科学与工程、系统工程、统计学、力学、网络空间安全、金融学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金融学专业需有数学专业学士或硕士背景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机电工程学院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机械工程、机械设计制造及自动化、机械电子工程、机器人工程、工业设计、材料加工工程、化工过程机械、流体机械及工程、车辆工程、农业机械化工程、动力机械及工程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1.机械工程主要为机械制造、机械设计及理论、控制、测试、力学等方向。2.材料加工工程主要为数字化成形与模具技术、快速制造技术、精密成形技术方向。3.本科为机械类专业。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电气信息工程学院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电子科学与技术、控制科学与工程、电气工程、通信工程、仪器科学与技术、光学工程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计算机科学与工程学院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计算机科学与技术、信息与通信工程、控制科学与工程、软件工程、网络空间安全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土木工程学院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土木工程、水利工程、力学、建筑学、测绘科学与技术、桥梁与隧道工程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商学院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会计学、财务管理、管理科学与工程、应用经济学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音乐舞蹈学院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音乐与舞蹈学（音乐表演、作曲）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在钢琴表演、作曲与作曲技术理论、声乐表演、器乐表演方面表演技能突出，专业音乐学院毕业生优先。音乐学领域相关专业方向毕业生。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设计艺术学院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设计学、美术学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本科专业为环境设计或油画或雕塑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预科教育学院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数学、应用数学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Calibri"/>
                <w:color w:val="000000"/>
                <w:sz w:val="20"/>
                <w:szCs w:val="20"/>
              </w:rPr>
            </w:pPr>
            <w:r>
              <w:rPr>
                <w:rFonts w:hint="eastAsia" w:ascii="宋体" w:cs="Calibri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继续教育学院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高等教育、发展与教育心理学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本科为高校毕业生，有3年以上工作经历。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学报编辑部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民族学、民族理论与政策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博士研究生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/>
                <w:color w:val="000000"/>
                <w:sz w:val="16"/>
                <w:szCs w:val="16"/>
              </w:rPr>
              <w:t>政治素质高；文字表达及加工能力强；工作责任心强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2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77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bookmarkEnd w:id="0"/>
    </w:tbl>
    <w:p>
      <w:pPr>
        <w:rPr>
          <w:rFonts w:ascii="方正仿宋_GBK" w:eastAsia="方正仿宋_GBK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DFA0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931</Words>
  <Characters>945</Characters>
  <Lines>157</Lines>
  <Paragraphs>99</Paragraphs>
  <TotalTime>309</TotalTime>
  <ScaleCrop>false</ScaleCrop>
  <LinksUpToDate>false</LinksUpToDate>
  <CharactersWithSpaces>953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2021-03-31T06:56:00Z</dcterms:created>
  <dc:creator>郑伟</dc:creator>
  <cp:lastModifiedBy>user</cp:lastModifiedBy>
  <dcterms:modified xsi:type="dcterms:W3CDTF">2021-05-27T03:20:49Z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